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23"/>
      </w:tblGrid>
      <w:tr w:rsidR="000004D1" w:rsidTr="000004D1">
        <w:tc>
          <w:tcPr>
            <w:tcW w:w="4219" w:type="dxa"/>
            <w:vAlign w:val="center"/>
          </w:tcPr>
          <w:p w:rsidR="000004D1" w:rsidRDefault="000004D1" w:rsidP="000004D1">
            <w:pPr>
              <w:spacing w:after="60"/>
              <w:rPr>
                <w:rFonts w:asciiTheme="majorBidi" w:hAnsiTheme="majorBidi" w:cstheme="majorBidi"/>
                <w:noProof/>
                <w:lang w:eastAsia="en-GB"/>
              </w:rPr>
            </w:pPr>
            <w:r>
              <w:rPr>
                <w:rFonts w:asciiTheme="majorBidi" w:hAnsiTheme="majorBidi" w:cstheme="majorBidi"/>
                <w:noProof/>
                <w:lang w:val="en-US" w:eastAsia="zh-CN"/>
              </w:rPr>
              <w:drawing>
                <wp:inline distT="0" distB="0" distL="0" distR="0" wp14:anchorId="64C41F86" wp14:editId="52FA3C75">
                  <wp:extent cx="1724188" cy="5434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5375" cy="543839"/>
                          </a:xfrm>
                          <a:prstGeom prst="rect">
                            <a:avLst/>
                          </a:prstGeom>
                        </pic:spPr>
                      </pic:pic>
                    </a:graphicData>
                  </a:graphic>
                </wp:inline>
              </w:drawing>
            </w:r>
          </w:p>
        </w:tc>
        <w:tc>
          <w:tcPr>
            <w:tcW w:w="5023" w:type="dxa"/>
            <w:vAlign w:val="center"/>
          </w:tcPr>
          <w:p w:rsidR="000004D1" w:rsidRPr="000004D1" w:rsidRDefault="000004D1" w:rsidP="000004D1">
            <w:pPr>
              <w:spacing w:after="60"/>
              <w:rPr>
                <w:rFonts w:cstheme="minorHAnsi"/>
                <w:b/>
                <w:bCs/>
                <w:noProof/>
                <w:sz w:val="36"/>
                <w:szCs w:val="36"/>
                <w:lang w:eastAsia="en-GB"/>
              </w:rPr>
            </w:pPr>
            <w:r w:rsidRPr="000004D1">
              <w:rPr>
                <w:rFonts w:cstheme="minorHAnsi"/>
                <w:b/>
                <w:bCs/>
                <w:noProof/>
                <w:sz w:val="36"/>
                <w:szCs w:val="36"/>
                <w:lang w:eastAsia="en-GB"/>
              </w:rPr>
              <w:t>CONSULTANCY</w:t>
            </w:r>
            <w:r w:rsidR="001E7D3A">
              <w:rPr>
                <w:rFonts w:cstheme="minorHAnsi"/>
                <w:b/>
                <w:bCs/>
                <w:noProof/>
                <w:sz w:val="36"/>
                <w:szCs w:val="36"/>
                <w:lang w:eastAsia="en-GB"/>
              </w:rPr>
              <w:t xml:space="preserve"> </w:t>
            </w:r>
          </w:p>
        </w:tc>
      </w:tr>
    </w:tbl>
    <w:p w:rsidR="000004D1" w:rsidRPr="000004D1" w:rsidRDefault="000004D1" w:rsidP="000004D1">
      <w:pPr>
        <w:spacing w:after="60" w:line="240" w:lineRule="auto"/>
        <w:jc w:val="center"/>
        <w:rPr>
          <w:b/>
          <w:bCs/>
          <w:sz w:val="16"/>
          <w:szCs w:val="16"/>
        </w:rPr>
      </w:pPr>
    </w:p>
    <w:p w:rsidR="00C05E37" w:rsidRDefault="00C05E37" w:rsidP="00173AF4">
      <w:pPr>
        <w:spacing w:after="60" w:line="240" w:lineRule="auto"/>
        <w:jc w:val="center"/>
        <w:rPr>
          <w:b/>
          <w:bCs/>
          <w:sz w:val="36"/>
          <w:szCs w:val="36"/>
        </w:rPr>
      </w:pPr>
      <w:r w:rsidRPr="00361ACA">
        <w:rPr>
          <w:b/>
          <w:bCs/>
          <w:i/>
          <w:sz w:val="28"/>
          <w:szCs w:val="28"/>
        </w:rPr>
        <w:t xml:space="preserve">                 </w:t>
      </w:r>
      <w:r w:rsidR="00361ACA" w:rsidRPr="00361ACA">
        <w:rPr>
          <w:b/>
          <w:bCs/>
          <w:i/>
          <w:sz w:val="28"/>
          <w:szCs w:val="28"/>
        </w:rPr>
        <w:t>Draft</w:t>
      </w:r>
      <w:r>
        <w:rPr>
          <w:b/>
          <w:bCs/>
          <w:sz w:val="28"/>
          <w:szCs w:val="28"/>
        </w:rPr>
        <w:t xml:space="preserve"> </w:t>
      </w:r>
      <w:r w:rsidR="000004D1" w:rsidRPr="000004D1">
        <w:rPr>
          <w:b/>
          <w:bCs/>
          <w:sz w:val="36"/>
          <w:szCs w:val="36"/>
        </w:rPr>
        <w:t>Terms of Reference</w:t>
      </w:r>
    </w:p>
    <w:p w:rsidR="00C05E37" w:rsidRDefault="00C05E37" w:rsidP="00C05E37">
      <w:pPr>
        <w:spacing w:after="60" w:line="240" w:lineRule="auto"/>
        <w:jc w:val="center"/>
        <w:rPr>
          <w:rFonts w:eastAsia="MS Gothic" w:cstheme="minorHAnsi"/>
        </w:rPr>
      </w:pPr>
    </w:p>
    <w:p w:rsidR="000004D1" w:rsidRPr="000004D1" w:rsidRDefault="000004D1" w:rsidP="00C05E37">
      <w:pPr>
        <w:spacing w:after="60" w:line="240" w:lineRule="auto"/>
        <w:rPr>
          <w:rFonts w:eastAsia="MS Gothic" w:cstheme="minorHAnsi"/>
        </w:rPr>
      </w:pPr>
      <w:r w:rsidRPr="000004D1">
        <w:rPr>
          <w:rFonts w:eastAsia="MS Gothic" w:cstheme="minorHAnsi"/>
        </w:rPr>
        <w:t xml:space="preserve">This </w:t>
      </w:r>
      <w:r w:rsidR="00C05E37">
        <w:rPr>
          <w:rFonts w:eastAsia="MS Gothic" w:cstheme="minorHAnsi"/>
        </w:rPr>
        <w:t>consultancy is requested by</w:t>
      </w:r>
      <w:r w:rsidRPr="000004D1">
        <w:rPr>
          <w:rFonts w:eastAsia="MS Gothic" w:cstheme="minorHAnsi"/>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6"/>
        <w:gridCol w:w="7716"/>
      </w:tblGrid>
      <w:tr w:rsidR="000004D1" w:rsidRPr="000229A7" w:rsidTr="000004D1">
        <w:tc>
          <w:tcPr>
            <w:tcW w:w="1526" w:type="dxa"/>
          </w:tcPr>
          <w:p w:rsidR="000004D1" w:rsidRPr="000229A7" w:rsidRDefault="000004D1" w:rsidP="000004D1">
            <w:pPr>
              <w:spacing w:after="60"/>
              <w:rPr>
                <w:rFonts w:cstheme="minorHAnsi"/>
              </w:rPr>
            </w:pPr>
            <w:r w:rsidRPr="000229A7">
              <w:rPr>
                <w:rFonts w:cstheme="minorHAnsi"/>
              </w:rPr>
              <w:t>Unit:</w:t>
            </w:r>
          </w:p>
        </w:tc>
        <w:tc>
          <w:tcPr>
            <w:tcW w:w="7716" w:type="dxa"/>
          </w:tcPr>
          <w:p w:rsidR="000004D1" w:rsidRPr="000229A7" w:rsidRDefault="00526342" w:rsidP="000004D1">
            <w:pPr>
              <w:spacing w:after="60"/>
              <w:rPr>
                <w:rFonts w:cstheme="minorHAnsi"/>
              </w:rPr>
            </w:pPr>
            <w:r w:rsidRPr="00526342">
              <w:rPr>
                <w:rFonts w:cstheme="minorHAnsi"/>
              </w:rPr>
              <w:t>Global initiatives and research coordination</w:t>
            </w:r>
            <w:r>
              <w:rPr>
                <w:rFonts w:cstheme="minorHAnsi"/>
              </w:rPr>
              <w:t xml:space="preserve"> (IRC)</w:t>
            </w:r>
          </w:p>
        </w:tc>
      </w:tr>
      <w:tr w:rsidR="000004D1" w:rsidRPr="000229A7" w:rsidTr="000004D1">
        <w:tc>
          <w:tcPr>
            <w:tcW w:w="1526" w:type="dxa"/>
          </w:tcPr>
          <w:p w:rsidR="000004D1" w:rsidRPr="000229A7" w:rsidRDefault="000004D1" w:rsidP="000004D1">
            <w:pPr>
              <w:spacing w:after="60"/>
              <w:rPr>
                <w:rFonts w:cstheme="minorHAnsi"/>
              </w:rPr>
            </w:pPr>
            <w:r w:rsidRPr="000229A7">
              <w:rPr>
                <w:rFonts w:cstheme="minorHAnsi"/>
              </w:rPr>
              <w:t>Department:</w:t>
            </w:r>
          </w:p>
        </w:tc>
        <w:tc>
          <w:tcPr>
            <w:tcW w:w="7716" w:type="dxa"/>
          </w:tcPr>
          <w:p w:rsidR="000004D1" w:rsidRPr="000229A7" w:rsidRDefault="00526342" w:rsidP="000004D1">
            <w:pPr>
              <w:spacing w:after="60"/>
              <w:rPr>
                <w:rFonts w:cstheme="minorHAnsi"/>
              </w:rPr>
            </w:pPr>
            <w:r>
              <w:rPr>
                <w:rFonts w:cstheme="minorHAnsi"/>
                <w:szCs w:val="20"/>
              </w:rPr>
              <w:t xml:space="preserve">Global </w:t>
            </w:r>
            <w:r w:rsidR="001343CD">
              <w:rPr>
                <w:rFonts w:cstheme="minorHAnsi"/>
                <w:szCs w:val="20"/>
              </w:rPr>
              <w:t xml:space="preserve">Coordination </w:t>
            </w:r>
            <w:r>
              <w:rPr>
                <w:rFonts w:cstheme="minorHAnsi"/>
                <w:szCs w:val="20"/>
              </w:rPr>
              <w:t xml:space="preserve">and </w:t>
            </w:r>
            <w:r w:rsidR="001343CD">
              <w:rPr>
                <w:rFonts w:cstheme="minorHAnsi"/>
                <w:szCs w:val="20"/>
              </w:rPr>
              <w:t xml:space="preserve">Partnership </w:t>
            </w:r>
            <w:r>
              <w:rPr>
                <w:rFonts w:cstheme="minorHAnsi"/>
                <w:szCs w:val="20"/>
              </w:rPr>
              <w:t>on Antimicrobial Resistance (GCP)</w:t>
            </w:r>
          </w:p>
        </w:tc>
      </w:tr>
    </w:tbl>
    <w:p w:rsidR="000004D1" w:rsidRDefault="000004D1" w:rsidP="000004D1">
      <w:pPr>
        <w:spacing w:after="60" w:line="240" w:lineRule="auto"/>
        <w:rPr>
          <w:rFonts w:cstheme="minorHAnsi"/>
        </w:rPr>
      </w:pPr>
    </w:p>
    <w:p w:rsidR="000004D1" w:rsidRPr="000004D1" w:rsidRDefault="00DD12DB" w:rsidP="000004D1">
      <w:pPr>
        <w:pStyle w:val="ListParagraph"/>
        <w:numPr>
          <w:ilvl w:val="0"/>
          <w:numId w:val="1"/>
        </w:numPr>
        <w:spacing w:after="60" w:line="240" w:lineRule="auto"/>
        <w:rPr>
          <w:rFonts w:cstheme="minorHAnsi"/>
          <w:b/>
          <w:bCs/>
        </w:rPr>
      </w:pPr>
      <w:r>
        <w:rPr>
          <w:rFonts w:cstheme="minorHAnsi"/>
          <w:b/>
          <w:bCs/>
        </w:rPr>
        <w:t>Purpose of the Consultancy</w:t>
      </w:r>
      <w:r w:rsidR="00E9376C">
        <w:rPr>
          <w:rFonts w:cstheme="minorHAnsi"/>
          <w:b/>
          <w:bCs/>
        </w:rPr>
        <w:t xml:space="preserve"> Roster</w:t>
      </w:r>
    </w:p>
    <w:p w:rsidR="000004D1" w:rsidRPr="00C65C62" w:rsidRDefault="005C1DAB" w:rsidP="00D01B3C">
      <w:pPr>
        <w:rPr>
          <w:rFonts w:cstheme="minorHAnsi"/>
          <w:szCs w:val="20"/>
        </w:rPr>
      </w:pPr>
      <w:r w:rsidRPr="00C65C62">
        <w:rPr>
          <w:rFonts w:cstheme="minorHAnsi"/>
          <w:szCs w:val="20"/>
        </w:rPr>
        <w:t xml:space="preserve">To support the </w:t>
      </w:r>
      <w:r w:rsidR="00252DA9">
        <w:rPr>
          <w:rFonts w:cstheme="minorHAnsi"/>
          <w:szCs w:val="20"/>
        </w:rPr>
        <w:t xml:space="preserve">Department of Global </w:t>
      </w:r>
      <w:r w:rsidR="001343CD">
        <w:rPr>
          <w:rFonts w:cstheme="minorHAnsi"/>
          <w:szCs w:val="20"/>
        </w:rPr>
        <w:t xml:space="preserve">Coordination </w:t>
      </w:r>
      <w:r w:rsidR="00252DA9">
        <w:rPr>
          <w:rFonts w:cstheme="minorHAnsi"/>
          <w:szCs w:val="20"/>
        </w:rPr>
        <w:t xml:space="preserve">and </w:t>
      </w:r>
      <w:r w:rsidR="001343CD">
        <w:rPr>
          <w:rFonts w:cstheme="minorHAnsi"/>
          <w:szCs w:val="20"/>
        </w:rPr>
        <w:t xml:space="preserve">Partnership </w:t>
      </w:r>
      <w:r w:rsidR="00252DA9">
        <w:rPr>
          <w:rFonts w:cstheme="minorHAnsi"/>
          <w:szCs w:val="20"/>
        </w:rPr>
        <w:t xml:space="preserve">on Antimicrobial Resistance (GCP) </w:t>
      </w:r>
      <w:r w:rsidRPr="00C65C62">
        <w:rPr>
          <w:rFonts w:cstheme="minorHAnsi"/>
          <w:szCs w:val="20"/>
        </w:rPr>
        <w:t xml:space="preserve">in the implementation of the </w:t>
      </w:r>
      <w:r w:rsidRPr="00C65C62">
        <w:rPr>
          <w:rFonts w:cstheme="minorHAnsi"/>
          <w:i/>
          <w:iCs/>
          <w:szCs w:val="20"/>
        </w:rPr>
        <w:t>Global Action Plan</w:t>
      </w:r>
      <w:r w:rsidRPr="00C65C62">
        <w:rPr>
          <w:rFonts w:cstheme="minorHAnsi"/>
          <w:szCs w:val="20"/>
        </w:rPr>
        <w:t xml:space="preserve"> on Antimicrobial Resistance</w:t>
      </w:r>
      <w:r w:rsidR="00C122F6">
        <w:rPr>
          <w:rFonts w:cstheme="minorHAnsi"/>
          <w:szCs w:val="20"/>
        </w:rPr>
        <w:t xml:space="preserve">, through supporting </w:t>
      </w:r>
      <w:r w:rsidR="00252DA9">
        <w:rPr>
          <w:rFonts w:cstheme="minorHAnsi"/>
          <w:szCs w:val="20"/>
        </w:rPr>
        <w:t>research and development priority setting to combat antimicrobial resistance</w:t>
      </w:r>
      <w:r w:rsidR="001E7D3A" w:rsidRPr="00C65C62">
        <w:rPr>
          <w:rFonts w:cstheme="minorHAnsi"/>
          <w:szCs w:val="20"/>
        </w:rPr>
        <w:t xml:space="preserve">. </w:t>
      </w:r>
    </w:p>
    <w:p w:rsidR="000004D1" w:rsidRDefault="00DD12DB" w:rsidP="000004D1">
      <w:pPr>
        <w:pStyle w:val="ListParagraph"/>
        <w:numPr>
          <w:ilvl w:val="0"/>
          <w:numId w:val="1"/>
        </w:numPr>
        <w:spacing w:after="60" w:line="240" w:lineRule="auto"/>
        <w:rPr>
          <w:rFonts w:cstheme="minorHAnsi"/>
          <w:b/>
          <w:bCs/>
        </w:rPr>
      </w:pPr>
      <w:r>
        <w:rPr>
          <w:rFonts w:cstheme="minorHAnsi"/>
          <w:b/>
          <w:bCs/>
        </w:rPr>
        <w:t>Background</w:t>
      </w:r>
    </w:p>
    <w:p w:rsidR="00A76992" w:rsidRDefault="001E7D3A" w:rsidP="00152547">
      <w:pPr>
        <w:shd w:val="clear" w:color="auto" w:fill="FFFFFF"/>
        <w:ind w:right="300"/>
        <w:textAlignment w:val="baseline"/>
      </w:pPr>
      <w:r>
        <w:rPr>
          <w:lang w:eastAsia="x-none"/>
        </w:rPr>
        <w:t>Antimicrobials resistance is a global public health threat, acknowledged through t</w:t>
      </w:r>
      <w:r w:rsidRPr="000A0308">
        <w:t>he endorsement of the Global Action Plan on</w:t>
      </w:r>
      <w:r>
        <w:t xml:space="preserve"> antimicrobial resistance (AMR)</w:t>
      </w:r>
      <w:r>
        <w:rPr>
          <w:rStyle w:val="FootnoteReference"/>
        </w:rPr>
        <w:footnoteReference w:id="1"/>
      </w:r>
      <w:r>
        <w:t xml:space="preserve"> </w:t>
      </w:r>
      <w:r w:rsidRPr="000A0308">
        <w:t>by the World Health Assembly (resolution WHA68.7) in May 2015,  the Political Declaration of the high-level meeting of the General Assembly on AMR</w:t>
      </w:r>
      <w:r>
        <w:rPr>
          <w:rStyle w:val="FootnoteReference"/>
        </w:rPr>
        <w:footnoteReference w:id="2"/>
      </w:r>
      <w:r w:rsidRPr="000A0308">
        <w:t xml:space="preserve"> in September 2017</w:t>
      </w:r>
      <w:r w:rsidR="00A76992">
        <w:t xml:space="preserve"> as well as the report of the UN</w:t>
      </w:r>
      <w:r w:rsidR="00A76992" w:rsidRPr="00A76992">
        <w:t xml:space="preserve"> Interagency Coordination Group (IACG) on Antimicrobial Resistance</w:t>
      </w:r>
      <w:r w:rsidR="00A76992">
        <w:rPr>
          <w:rStyle w:val="FootnoteReference"/>
        </w:rPr>
        <w:footnoteReference w:id="3"/>
      </w:r>
      <w:r w:rsidR="00152547" w:rsidRPr="006828D9">
        <w:rPr>
          <w:rFonts w:cstheme="minorHAnsi"/>
        </w:rPr>
        <w:t xml:space="preserve">. Objective five of the Global Action Plan </w:t>
      </w:r>
      <w:r w:rsidR="00152547" w:rsidRPr="006828D9">
        <w:t xml:space="preserve">is to </w:t>
      </w:r>
      <w:r w:rsidR="00152547" w:rsidRPr="005E0376">
        <w:t>increase research and development (R&amp;D) for new antibacterial treatments and optimize the use of existing and new antibiotics. Further political commitments to implement the global action plan and foster R&amp;D of new antibiotics was shown at the United Nations General Assembly at its Seventy-First Session in 2016 at a high-level meeting on antimicrobial resistance and more recently in 2017 at the meeting of the Group of 20. In response, in September 2017, WHO released the priority pathogens list including TB to prioritize R&amp;D efforts for new. Coupled with this report, the WHO undertook the first global analysis of a</w:t>
      </w:r>
      <w:r w:rsidR="00152547" w:rsidRPr="005E0376">
        <w:rPr>
          <w:rFonts w:cs="Helvetica"/>
        </w:rPr>
        <w:t>ntibacterial agents in clinical development. The analysis</w:t>
      </w:r>
      <w:r w:rsidR="00152547">
        <w:rPr>
          <w:rFonts w:cs="Helvetica"/>
        </w:rPr>
        <w:t>, that is being undertaken on an annual basis</w:t>
      </w:r>
      <w:r w:rsidR="00152547">
        <w:t xml:space="preserve"> identifies that the current pipeline as being</w:t>
      </w:r>
      <w:r w:rsidR="00152547" w:rsidRPr="005E0376">
        <w:t xml:space="preserve"> insufficient to combat AMR.</w:t>
      </w:r>
      <w:r w:rsidR="00152547">
        <w:t xml:space="preserve"> </w:t>
      </w:r>
      <w:r w:rsidR="00252DA9">
        <w:t>In 2019 the WHO expanded the analysis to the preclinical antibacterial pipeline and plans to expand to antifungals in 2020.</w:t>
      </w:r>
      <w:r w:rsidR="00152547">
        <w:t xml:space="preserve"> </w:t>
      </w:r>
    </w:p>
    <w:p w:rsidR="000004D1" w:rsidRPr="000004D1" w:rsidRDefault="00173AF4" w:rsidP="00173AF4">
      <w:pPr>
        <w:pStyle w:val="ListParagraph"/>
        <w:numPr>
          <w:ilvl w:val="0"/>
          <w:numId w:val="1"/>
        </w:numPr>
        <w:spacing w:after="60" w:line="240" w:lineRule="auto"/>
        <w:rPr>
          <w:rFonts w:cstheme="minorHAnsi"/>
          <w:b/>
          <w:bCs/>
        </w:rPr>
      </w:pPr>
      <w:r>
        <w:rPr>
          <w:rFonts w:cstheme="minorHAnsi"/>
          <w:b/>
          <w:bCs/>
        </w:rPr>
        <w:t xml:space="preserve">Planned timelines: </w:t>
      </w:r>
      <w:r w:rsidR="00252DA9" w:rsidRPr="00252DA9">
        <w:rPr>
          <w:rFonts w:cstheme="minorHAnsi"/>
          <w:bCs/>
        </w:rPr>
        <w:t xml:space="preserve">(TBC) approximately </w:t>
      </w:r>
      <w:r w:rsidR="00252DA9">
        <w:rPr>
          <w:rFonts w:cstheme="minorHAnsi"/>
        </w:rPr>
        <w:t>8</w:t>
      </w:r>
      <w:r w:rsidR="00152547">
        <w:rPr>
          <w:rFonts w:cstheme="minorHAnsi"/>
        </w:rPr>
        <w:t xml:space="preserve"> months full-time</w:t>
      </w:r>
    </w:p>
    <w:p w:rsidR="000004D1" w:rsidRDefault="000004D1" w:rsidP="002B5A93">
      <w:pPr>
        <w:spacing w:after="60" w:line="240" w:lineRule="auto"/>
        <w:rPr>
          <w:rFonts w:cstheme="minorHAnsi"/>
        </w:rPr>
      </w:pPr>
      <w:r>
        <w:rPr>
          <w:rFonts w:cstheme="minorHAnsi"/>
        </w:rPr>
        <w:t xml:space="preserve">Start date:  </w:t>
      </w:r>
      <w:r w:rsidR="00252DA9">
        <w:rPr>
          <w:rFonts w:cstheme="minorHAnsi"/>
        </w:rPr>
        <w:t>01</w:t>
      </w:r>
      <w:r w:rsidR="008E328D">
        <w:rPr>
          <w:rFonts w:cstheme="minorHAnsi"/>
        </w:rPr>
        <w:t>/05/2020</w:t>
      </w:r>
    </w:p>
    <w:p w:rsidR="000004D1" w:rsidRDefault="000004D1" w:rsidP="00173AF4">
      <w:pPr>
        <w:spacing w:after="60" w:line="240" w:lineRule="auto"/>
        <w:rPr>
          <w:rFonts w:cstheme="minorHAnsi"/>
        </w:rPr>
      </w:pPr>
      <w:r>
        <w:rPr>
          <w:rFonts w:cstheme="minorHAnsi"/>
        </w:rPr>
        <w:t xml:space="preserve">End date: </w:t>
      </w:r>
      <w:r w:rsidR="00252DA9">
        <w:rPr>
          <w:rFonts w:cstheme="minorHAnsi"/>
        </w:rPr>
        <w:t>30</w:t>
      </w:r>
      <w:r w:rsidR="005C1DAB">
        <w:rPr>
          <w:rFonts w:cstheme="minorHAnsi"/>
        </w:rPr>
        <w:t>/</w:t>
      </w:r>
      <w:r w:rsidR="008E328D">
        <w:rPr>
          <w:rFonts w:cstheme="minorHAnsi"/>
        </w:rPr>
        <w:t>12</w:t>
      </w:r>
      <w:r w:rsidR="00C65C62">
        <w:rPr>
          <w:rFonts w:cstheme="minorHAnsi"/>
        </w:rPr>
        <w:t>/2020</w:t>
      </w:r>
    </w:p>
    <w:p w:rsidR="006D2AD9" w:rsidRDefault="006D2AD9" w:rsidP="006D2AD9">
      <w:pPr>
        <w:pStyle w:val="ListParagraph"/>
        <w:spacing w:after="60" w:line="240" w:lineRule="auto"/>
        <w:ind w:left="360"/>
        <w:rPr>
          <w:rFonts w:cstheme="minorHAnsi"/>
          <w:b/>
          <w:bCs/>
        </w:rPr>
      </w:pPr>
    </w:p>
    <w:p w:rsidR="000004D1" w:rsidRDefault="00DD12DB" w:rsidP="000004D1">
      <w:pPr>
        <w:pStyle w:val="ListParagraph"/>
        <w:numPr>
          <w:ilvl w:val="0"/>
          <w:numId w:val="1"/>
        </w:numPr>
        <w:spacing w:after="60" w:line="240" w:lineRule="auto"/>
        <w:rPr>
          <w:rFonts w:cstheme="minorHAnsi"/>
          <w:b/>
          <w:bCs/>
        </w:rPr>
      </w:pPr>
      <w:r>
        <w:rPr>
          <w:rFonts w:cstheme="minorHAnsi"/>
          <w:b/>
          <w:bCs/>
        </w:rPr>
        <w:t>Work to be performed</w:t>
      </w:r>
    </w:p>
    <w:p w:rsidR="00C65C62" w:rsidRDefault="00C65C62" w:rsidP="00C65C62">
      <w:pPr>
        <w:spacing w:after="60" w:line="240" w:lineRule="auto"/>
        <w:rPr>
          <w:rFonts w:cstheme="minorHAnsi"/>
          <w:bCs/>
        </w:rPr>
      </w:pPr>
      <w:r w:rsidRPr="00C65C62">
        <w:rPr>
          <w:rFonts w:cstheme="minorHAnsi"/>
          <w:bCs/>
        </w:rPr>
        <w:t xml:space="preserve">Under the supervision of </w:t>
      </w:r>
      <w:r w:rsidR="0063783D">
        <w:rPr>
          <w:rFonts w:cstheme="minorHAnsi"/>
          <w:bCs/>
        </w:rPr>
        <w:t>the</w:t>
      </w:r>
      <w:r w:rsidR="007A3AF8">
        <w:rPr>
          <w:rFonts w:cstheme="minorHAnsi"/>
          <w:bCs/>
        </w:rPr>
        <w:t xml:space="preserve"> Impact Initiates and Research Coordination</w:t>
      </w:r>
      <w:r w:rsidR="0063783D">
        <w:rPr>
          <w:rFonts w:cstheme="minorHAnsi"/>
          <w:bCs/>
        </w:rPr>
        <w:t xml:space="preserve"> </w:t>
      </w:r>
      <w:r w:rsidR="007A3AF8">
        <w:rPr>
          <w:rFonts w:cstheme="minorHAnsi"/>
          <w:bCs/>
        </w:rPr>
        <w:t>(</w:t>
      </w:r>
      <w:r w:rsidRPr="00C65C62">
        <w:rPr>
          <w:rFonts w:cstheme="minorHAnsi"/>
          <w:bCs/>
        </w:rPr>
        <w:t>I</w:t>
      </w:r>
      <w:r w:rsidR="008E328D">
        <w:rPr>
          <w:rFonts w:cstheme="minorHAnsi"/>
          <w:bCs/>
        </w:rPr>
        <w:t>RC</w:t>
      </w:r>
      <w:r w:rsidR="007A3AF8">
        <w:rPr>
          <w:rFonts w:cstheme="minorHAnsi"/>
          <w:bCs/>
        </w:rPr>
        <w:t>)</w:t>
      </w:r>
      <w:r w:rsidRPr="00C65C62">
        <w:rPr>
          <w:rFonts w:cstheme="minorHAnsi"/>
          <w:bCs/>
        </w:rPr>
        <w:t xml:space="preserve"> unit in </w:t>
      </w:r>
      <w:r w:rsidR="00526342">
        <w:rPr>
          <w:rFonts w:cstheme="minorHAnsi"/>
          <w:bCs/>
        </w:rPr>
        <w:t xml:space="preserve">the GCP department in </w:t>
      </w:r>
      <w:r w:rsidRPr="00C65C62">
        <w:rPr>
          <w:rFonts w:cstheme="minorHAnsi"/>
          <w:bCs/>
        </w:rPr>
        <w:t>W</w:t>
      </w:r>
      <w:r w:rsidR="00A11483">
        <w:rPr>
          <w:rFonts w:cstheme="minorHAnsi"/>
          <w:bCs/>
        </w:rPr>
        <w:t>HO headquarters, the consultant</w:t>
      </w:r>
      <w:r w:rsidRPr="00C65C62">
        <w:rPr>
          <w:rFonts w:cstheme="minorHAnsi"/>
          <w:bCs/>
        </w:rPr>
        <w:t xml:space="preserve"> will perform the following functions: </w:t>
      </w:r>
    </w:p>
    <w:p w:rsidR="00AD3D75" w:rsidRPr="00AD3D75" w:rsidRDefault="00A11483" w:rsidP="00AD3D75">
      <w:pPr>
        <w:pStyle w:val="ListParagraph"/>
        <w:numPr>
          <w:ilvl w:val="0"/>
          <w:numId w:val="15"/>
        </w:numPr>
        <w:spacing w:after="60" w:line="240" w:lineRule="auto"/>
        <w:rPr>
          <w:rFonts w:cstheme="minorHAnsi"/>
          <w:bCs/>
        </w:rPr>
      </w:pPr>
      <w:r w:rsidRPr="00A11483">
        <w:rPr>
          <w:rFonts w:cstheme="minorHAnsi"/>
          <w:bCs/>
        </w:rPr>
        <w:t xml:space="preserve">Support the work of the unit in implementing the global action plan on antimicrobial resistance </w:t>
      </w:r>
      <w:r w:rsidR="00252DA9">
        <w:rPr>
          <w:rFonts w:cstheme="minorHAnsi"/>
          <w:bCs/>
        </w:rPr>
        <w:t>strategic objective five in the</w:t>
      </w:r>
      <w:r w:rsidRPr="00A11483">
        <w:rPr>
          <w:rFonts w:cstheme="minorHAnsi"/>
          <w:bCs/>
        </w:rPr>
        <w:t xml:space="preserve"> area</w:t>
      </w:r>
      <w:r>
        <w:rPr>
          <w:rFonts w:cstheme="minorHAnsi"/>
          <w:bCs/>
        </w:rPr>
        <w:t xml:space="preserve"> research and development </w:t>
      </w:r>
      <w:r w:rsidR="00AD3D75">
        <w:rPr>
          <w:rFonts w:cstheme="minorHAnsi"/>
          <w:bCs/>
        </w:rPr>
        <w:t>priority setting for ant</w:t>
      </w:r>
      <w:r w:rsidR="00252DA9">
        <w:rPr>
          <w:rFonts w:cstheme="minorHAnsi"/>
          <w:bCs/>
        </w:rPr>
        <w:t>imic</w:t>
      </w:r>
      <w:r w:rsidR="00AD3D75">
        <w:rPr>
          <w:rFonts w:cstheme="minorHAnsi"/>
          <w:bCs/>
        </w:rPr>
        <w:t>r</w:t>
      </w:r>
      <w:r w:rsidR="00252DA9">
        <w:rPr>
          <w:rFonts w:cstheme="minorHAnsi"/>
          <w:bCs/>
        </w:rPr>
        <w:t>o</w:t>
      </w:r>
      <w:r w:rsidR="00AD3D75">
        <w:rPr>
          <w:rFonts w:cstheme="minorHAnsi"/>
          <w:bCs/>
        </w:rPr>
        <w:t>bial resistance</w:t>
      </w:r>
      <w:r w:rsidR="001E4A69">
        <w:rPr>
          <w:rFonts w:cstheme="minorHAnsi"/>
          <w:bCs/>
        </w:rPr>
        <w:t>;</w:t>
      </w:r>
    </w:p>
    <w:p w:rsidR="00AD3D75" w:rsidRPr="00AD3D75" w:rsidRDefault="005B6706" w:rsidP="00AD3D75">
      <w:pPr>
        <w:pStyle w:val="ListParagraph"/>
        <w:numPr>
          <w:ilvl w:val="0"/>
          <w:numId w:val="15"/>
        </w:numPr>
        <w:spacing w:after="60" w:line="240" w:lineRule="auto"/>
        <w:rPr>
          <w:rFonts w:cstheme="minorHAnsi"/>
          <w:bCs/>
        </w:rPr>
      </w:pPr>
      <w:r>
        <w:rPr>
          <w:rFonts w:cstheme="minorHAnsi"/>
          <w:bCs/>
        </w:rPr>
        <w:t xml:space="preserve">Coordinate the </w:t>
      </w:r>
      <w:r w:rsidR="00AD3D75">
        <w:rPr>
          <w:rFonts w:cstheme="minorHAnsi"/>
          <w:bCs/>
        </w:rPr>
        <w:t>collection and collation of data on the preclinical and clinical antibacterial pipeline</w:t>
      </w:r>
      <w:r>
        <w:rPr>
          <w:rFonts w:cstheme="minorHAnsi"/>
          <w:bCs/>
        </w:rPr>
        <w:t xml:space="preserve"> by WHO external consultants</w:t>
      </w:r>
      <w:r w:rsidR="00252DA9">
        <w:rPr>
          <w:rFonts w:cstheme="minorHAnsi"/>
          <w:bCs/>
        </w:rPr>
        <w:t xml:space="preserve"> in preparation for the 2020 clinical antibacterial </w:t>
      </w:r>
      <w:r w:rsidR="001E4A69">
        <w:rPr>
          <w:rFonts w:cstheme="minorHAnsi"/>
          <w:bCs/>
        </w:rPr>
        <w:t>pipeline advisory group meeting;</w:t>
      </w:r>
      <w:r w:rsidR="00AD3D75">
        <w:rPr>
          <w:rFonts w:cstheme="minorHAnsi"/>
          <w:bCs/>
        </w:rPr>
        <w:t xml:space="preserve">    </w:t>
      </w:r>
    </w:p>
    <w:p w:rsidR="00173AF4" w:rsidRDefault="00C122F6" w:rsidP="00173AF4">
      <w:pPr>
        <w:pStyle w:val="ListParagraph"/>
        <w:numPr>
          <w:ilvl w:val="0"/>
          <w:numId w:val="15"/>
        </w:numPr>
        <w:spacing w:after="60" w:line="240" w:lineRule="auto"/>
        <w:rPr>
          <w:rFonts w:cstheme="minorHAnsi"/>
          <w:bCs/>
        </w:rPr>
      </w:pPr>
      <w:r w:rsidRPr="00C122F6">
        <w:rPr>
          <w:rFonts w:cstheme="minorHAnsi"/>
          <w:bCs/>
        </w:rPr>
        <w:lastRenderedPageBreak/>
        <w:t xml:space="preserve">Support the </w:t>
      </w:r>
      <w:r w:rsidR="00526342">
        <w:rPr>
          <w:rFonts w:cstheme="minorHAnsi"/>
          <w:bCs/>
        </w:rPr>
        <w:t>unit</w:t>
      </w:r>
      <w:r w:rsidR="00A11483">
        <w:rPr>
          <w:rFonts w:cstheme="minorHAnsi"/>
          <w:bCs/>
        </w:rPr>
        <w:t xml:space="preserve"> in the </w:t>
      </w:r>
      <w:r w:rsidRPr="00C122F6">
        <w:rPr>
          <w:rFonts w:cstheme="minorHAnsi"/>
          <w:bCs/>
        </w:rPr>
        <w:t>preparation</w:t>
      </w:r>
      <w:r w:rsidR="00A11483">
        <w:rPr>
          <w:rFonts w:cstheme="minorHAnsi"/>
          <w:bCs/>
        </w:rPr>
        <w:t xml:space="preserve"> and delivery</w:t>
      </w:r>
      <w:r w:rsidRPr="00C122F6">
        <w:rPr>
          <w:rFonts w:cstheme="minorHAnsi"/>
          <w:bCs/>
        </w:rPr>
        <w:t xml:space="preserve"> of the </w:t>
      </w:r>
      <w:r w:rsidR="00AD3D75">
        <w:rPr>
          <w:rFonts w:cstheme="minorHAnsi"/>
          <w:bCs/>
        </w:rPr>
        <w:t>2020 clinical antibacterial pipeline advisory group mee</w:t>
      </w:r>
      <w:r w:rsidR="001E4A69">
        <w:rPr>
          <w:rFonts w:cstheme="minorHAnsi"/>
          <w:bCs/>
        </w:rPr>
        <w:t>ting;</w:t>
      </w:r>
      <w:r w:rsidR="00A11483">
        <w:rPr>
          <w:rFonts w:cstheme="minorHAnsi"/>
          <w:bCs/>
        </w:rPr>
        <w:t xml:space="preserve"> </w:t>
      </w:r>
    </w:p>
    <w:p w:rsidR="005B6706" w:rsidRDefault="005B6706" w:rsidP="00173AF4">
      <w:pPr>
        <w:pStyle w:val="ListParagraph"/>
        <w:numPr>
          <w:ilvl w:val="0"/>
          <w:numId w:val="15"/>
        </w:numPr>
        <w:spacing w:after="60" w:line="240" w:lineRule="auto"/>
        <w:rPr>
          <w:rFonts w:cstheme="minorHAnsi"/>
          <w:bCs/>
        </w:rPr>
      </w:pPr>
      <w:r>
        <w:rPr>
          <w:rFonts w:cstheme="minorHAnsi"/>
          <w:bCs/>
        </w:rPr>
        <w:t>Support the unit in developing the WHO 2020 clinical antibacterial pipeline update publication and updating the 2020 clinical and pre-clinical pipeline data in the WH</w:t>
      </w:r>
      <w:r w:rsidR="001E4A69">
        <w:rPr>
          <w:rFonts w:cstheme="minorHAnsi"/>
          <w:bCs/>
        </w:rPr>
        <w:t>O Public Health R&amp;D Observatory; and</w:t>
      </w:r>
    </w:p>
    <w:p w:rsidR="00252DA9" w:rsidRDefault="00252DA9" w:rsidP="00173AF4">
      <w:pPr>
        <w:pStyle w:val="ListParagraph"/>
        <w:numPr>
          <w:ilvl w:val="0"/>
          <w:numId w:val="15"/>
        </w:numPr>
        <w:spacing w:after="60" w:line="240" w:lineRule="auto"/>
        <w:rPr>
          <w:rFonts w:cstheme="minorHAnsi"/>
          <w:bCs/>
        </w:rPr>
      </w:pPr>
      <w:r>
        <w:rPr>
          <w:rFonts w:cstheme="minorHAnsi"/>
          <w:bCs/>
        </w:rPr>
        <w:t xml:space="preserve">Assist the </w:t>
      </w:r>
      <w:r w:rsidR="00526342">
        <w:rPr>
          <w:rFonts w:cstheme="minorHAnsi"/>
          <w:bCs/>
        </w:rPr>
        <w:t>unit</w:t>
      </w:r>
      <w:r>
        <w:rPr>
          <w:rFonts w:cstheme="minorHAnsi"/>
          <w:bCs/>
        </w:rPr>
        <w:t xml:space="preserve"> in other research and development priority setting to combat antimicrobial resistance including furthering the antifungal priority research agenda</w:t>
      </w:r>
      <w:r w:rsidR="00D43A42">
        <w:rPr>
          <w:rFonts w:cstheme="minorHAnsi"/>
          <w:bCs/>
        </w:rPr>
        <w:t xml:space="preserve"> and the review of the vaccine pipeline</w:t>
      </w:r>
      <w:r>
        <w:rPr>
          <w:rFonts w:cstheme="minorHAnsi"/>
          <w:bCs/>
        </w:rPr>
        <w:t xml:space="preserve">. </w:t>
      </w:r>
    </w:p>
    <w:p w:rsidR="00A11483" w:rsidRPr="00A11483" w:rsidRDefault="00A11483" w:rsidP="00A11483">
      <w:pPr>
        <w:spacing w:after="60" w:line="240" w:lineRule="auto"/>
        <w:rPr>
          <w:rFonts w:cstheme="minorHAnsi"/>
          <w:bCs/>
        </w:rPr>
      </w:pPr>
    </w:p>
    <w:p w:rsidR="000004D1" w:rsidRPr="00116A84" w:rsidRDefault="00116A84" w:rsidP="000004D1">
      <w:pPr>
        <w:pStyle w:val="ListParagraph"/>
        <w:numPr>
          <w:ilvl w:val="0"/>
          <w:numId w:val="1"/>
        </w:numPr>
        <w:spacing w:after="60" w:line="240" w:lineRule="auto"/>
        <w:rPr>
          <w:rFonts w:cstheme="minorHAnsi"/>
          <w:b/>
          <w:bCs/>
        </w:rPr>
      </w:pPr>
      <w:r w:rsidRPr="00116A84">
        <w:rPr>
          <w:rFonts w:cstheme="minorHAnsi"/>
          <w:b/>
          <w:bCs/>
        </w:rPr>
        <w:t>Technical Supervision</w:t>
      </w:r>
    </w:p>
    <w:p w:rsidR="00116A84" w:rsidRDefault="00116A84" w:rsidP="00116A84">
      <w:pPr>
        <w:spacing w:after="60" w:line="240" w:lineRule="auto"/>
        <w:rPr>
          <w:rFonts w:cstheme="minorHAnsi"/>
        </w:rPr>
      </w:pPr>
      <w:r>
        <w:rPr>
          <w:rFonts w:cstheme="minorHAnsi"/>
        </w:rPr>
        <w:t>The selected Consultant</w:t>
      </w:r>
      <w:r w:rsidR="00C65C62">
        <w:rPr>
          <w:rFonts w:cstheme="minorHAnsi"/>
        </w:rPr>
        <w:t>s</w:t>
      </w:r>
      <w:r>
        <w:rPr>
          <w:rFonts w:cstheme="minorHAnsi"/>
        </w:rPr>
        <w:t xml:space="preserve"> will work on the supervision of:</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08"/>
        <w:gridCol w:w="4020"/>
        <w:gridCol w:w="848"/>
        <w:gridCol w:w="2665"/>
      </w:tblGrid>
      <w:tr w:rsidR="00116A84" w:rsidRPr="000229A7" w:rsidTr="00CA5780">
        <w:trPr>
          <w:trHeight w:val="161"/>
        </w:trPr>
        <w:tc>
          <w:tcPr>
            <w:tcW w:w="2235" w:type="dxa"/>
          </w:tcPr>
          <w:p w:rsidR="00116A84" w:rsidRPr="000229A7" w:rsidRDefault="00116A84" w:rsidP="009B5DE0">
            <w:pPr>
              <w:spacing w:after="60"/>
              <w:rPr>
                <w:rFonts w:cstheme="minorHAnsi"/>
              </w:rPr>
            </w:pPr>
            <w:r w:rsidRPr="000229A7">
              <w:rPr>
                <w:rFonts w:cstheme="minorHAnsi"/>
              </w:rPr>
              <w:t xml:space="preserve">Responsible Officer: </w:t>
            </w:r>
          </w:p>
        </w:tc>
        <w:tc>
          <w:tcPr>
            <w:tcW w:w="4110" w:type="dxa"/>
          </w:tcPr>
          <w:p w:rsidR="00C65C62" w:rsidRPr="000229A7" w:rsidRDefault="005C1DAB" w:rsidP="005C1DAB">
            <w:pPr>
              <w:spacing w:after="60"/>
              <w:rPr>
                <w:rFonts w:cstheme="minorHAnsi"/>
              </w:rPr>
            </w:pPr>
            <w:r w:rsidRPr="000229A7">
              <w:rPr>
                <w:rFonts w:cstheme="minorHAnsi"/>
              </w:rPr>
              <w:t>Sarah Pau</w:t>
            </w:r>
            <w:r w:rsidR="007A3AF8">
              <w:rPr>
                <w:rFonts w:cstheme="minorHAnsi"/>
              </w:rPr>
              <w:t>lin, Technical Officer, GCP, IRC</w:t>
            </w:r>
          </w:p>
        </w:tc>
        <w:tc>
          <w:tcPr>
            <w:tcW w:w="851" w:type="dxa"/>
          </w:tcPr>
          <w:p w:rsidR="00116A84" w:rsidRPr="000229A7" w:rsidRDefault="00116A84" w:rsidP="009B5DE0">
            <w:pPr>
              <w:spacing w:after="60"/>
              <w:rPr>
                <w:rFonts w:cstheme="minorHAnsi"/>
              </w:rPr>
            </w:pPr>
            <w:r w:rsidRPr="000229A7">
              <w:rPr>
                <w:rFonts w:cstheme="minorHAnsi"/>
              </w:rPr>
              <w:t>Email:</w:t>
            </w:r>
          </w:p>
        </w:tc>
        <w:tc>
          <w:tcPr>
            <w:tcW w:w="2693" w:type="dxa"/>
          </w:tcPr>
          <w:p w:rsidR="00C65C62" w:rsidRPr="000229A7" w:rsidRDefault="00CA4FCF" w:rsidP="00C65C62">
            <w:pPr>
              <w:spacing w:after="60"/>
              <w:rPr>
                <w:rFonts w:cstheme="minorHAnsi"/>
              </w:rPr>
            </w:pPr>
            <w:hyperlink r:id="rId9" w:history="1">
              <w:r w:rsidR="00C65C62" w:rsidRPr="000229A7">
                <w:rPr>
                  <w:rStyle w:val="Hyperlink"/>
                  <w:rFonts w:cstheme="minorHAnsi"/>
                </w:rPr>
                <w:t>paulins@who.int</w:t>
              </w:r>
            </w:hyperlink>
          </w:p>
        </w:tc>
      </w:tr>
      <w:tr w:rsidR="00116A84" w:rsidRPr="000229A7" w:rsidTr="00116A84">
        <w:tc>
          <w:tcPr>
            <w:tcW w:w="2235" w:type="dxa"/>
          </w:tcPr>
          <w:p w:rsidR="00116A84" w:rsidRPr="000229A7" w:rsidRDefault="00116A84" w:rsidP="00116A84">
            <w:pPr>
              <w:spacing w:after="60"/>
              <w:rPr>
                <w:rFonts w:cstheme="minorHAnsi"/>
              </w:rPr>
            </w:pPr>
            <w:r w:rsidRPr="000229A7">
              <w:rPr>
                <w:rFonts w:cstheme="minorHAnsi"/>
              </w:rPr>
              <w:t>Manager:</w:t>
            </w:r>
          </w:p>
        </w:tc>
        <w:tc>
          <w:tcPr>
            <w:tcW w:w="4110" w:type="dxa"/>
          </w:tcPr>
          <w:p w:rsidR="00116A84" w:rsidRPr="000229A7" w:rsidRDefault="005C1DAB" w:rsidP="005C1DAB">
            <w:pPr>
              <w:spacing w:after="60"/>
              <w:rPr>
                <w:rFonts w:cstheme="minorHAnsi"/>
              </w:rPr>
            </w:pPr>
            <w:r w:rsidRPr="000229A7">
              <w:rPr>
                <w:rFonts w:cstheme="minorHAnsi"/>
              </w:rPr>
              <w:t>Peter</w:t>
            </w:r>
            <w:r w:rsidR="007A3AF8">
              <w:rPr>
                <w:rFonts w:cstheme="minorHAnsi"/>
              </w:rPr>
              <w:t xml:space="preserve"> Beyer, Senior Advisor, GCP, IRC</w:t>
            </w:r>
          </w:p>
        </w:tc>
        <w:tc>
          <w:tcPr>
            <w:tcW w:w="851" w:type="dxa"/>
          </w:tcPr>
          <w:p w:rsidR="00116A84" w:rsidRPr="000229A7" w:rsidRDefault="00116A84" w:rsidP="009B5DE0">
            <w:pPr>
              <w:spacing w:after="60"/>
              <w:rPr>
                <w:rFonts w:cstheme="minorHAnsi"/>
              </w:rPr>
            </w:pPr>
            <w:r w:rsidRPr="000229A7">
              <w:rPr>
                <w:rFonts w:cstheme="minorHAnsi"/>
              </w:rPr>
              <w:t>Email:</w:t>
            </w:r>
          </w:p>
        </w:tc>
        <w:tc>
          <w:tcPr>
            <w:tcW w:w="2693" w:type="dxa"/>
          </w:tcPr>
          <w:p w:rsidR="00C65C62" w:rsidRPr="000229A7" w:rsidRDefault="00CA4FCF" w:rsidP="00C65C62">
            <w:pPr>
              <w:spacing w:after="60"/>
              <w:rPr>
                <w:rFonts w:cstheme="minorHAnsi"/>
              </w:rPr>
            </w:pPr>
            <w:hyperlink r:id="rId10" w:history="1">
              <w:r w:rsidR="00C65C62" w:rsidRPr="000229A7">
                <w:rPr>
                  <w:rStyle w:val="Hyperlink"/>
                  <w:rFonts w:cstheme="minorHAnsi"/>
                </w:rPr>
                <w:t>beyerp@who.int</w:t>
              </w:r>
            </w:hyperlink>
          </w:p>
        </w:tc>
      </w:tr>
    </w:tbl>
    <w:p w:rsidR="00116A84" w:rsidRDefault="00116A84" w:rsidP="00116A84">
      <w:pPr>
        <w:spacing w:after="60" w:line="240" w:lineRule="auto"/>
        <w:rPr>
          <w:rFonts w:cstheme="minorHAnsi"/>
        </w:rPr>
      </w:pPr>
    </w:p>
    <w:p w:rsidR="00116A84" w:rsidRPr="009439E6" w:rsidRDefault="00116A84" w:rsidP="00116A84">
      <w:pPr>
        <w:pStyle w:val="ListParagraph"/>
        <w:numPr>
          <w:ilvl w:val="0"/>
          <w:numId w:val="1"/>
        </w:numPr>
        <w:spacing w:after="60" w:line="240" w:lineRule="auto"/>
        <w:rPr>
          <w:rFonts w:cstheme="minorHAnsi"/>
          <w:b/>
          <w:bCs/>
        </w:rPr>
      </w:pPr>
      <w:r w:rsidRPr="009439E6">
        <w:rPr>
          <w:rFonts w:cstheme="minorHAnsi"/>
          <w:b/>
          <w:bCs/>
        </w:rPr>
        <w:t>Specific requirements</w:t>
      </w:r>
    </w:p>
    <w:p w:rsidR="00116A84" w:rsidRDefault="00116A84" w:rsidP="00116A84">
      <w:pPr>
        <w:tabs>
          <w:tab w:val="left" w:pos="2663"/>
        </w:tabs>
        <w:spacing w:after="60" w:line="240" w:lineRule="auto"/>
        <w:rPr>
          <w:rFonts w:cstheme="minorHAnsi"/>
        </w:rPr>
      </w:pPr>
      <w:r w:rsidRPr="00116A84">
        <w:rPr>
          <w:rFonts w:cstheme="minorHAnsi"/>
          <w:u w:val="single"/>
        </w:rPr>
        <w:t>Qualifications required</w:t>
      </w:r>
      <w:r>
        <w:rPr>
          <w:rFonts w:cstheme="minorHAnsi"/>
        </w:rPr>
        <w:t>:</w:t>
      </w:r>
      <w:r>
        <w:rPr>
          <w:rFonts w:cstheme="minorHAnsi"/>
        </w:rPr>
        <w:tab/>
      </w:r>
    </w:p>
    <w:p w:rsidR="00170247" w:rsidRPr="00170247" w:rsidRDefault="00170247" w:rsidP="005A28DB">
      <w:pPr>
        <w:pStyle w:val="ListParagraph"/>
        <w:numPr>
          <w:ilvl w:val="0"/>
          <w:numId w:val="10"/>
        </w:numPr>
        <w:spacing w:after="60" w:line="240" w:lineRule="auto"/>
        <w:ind w:left="284" w:hanging="284"/>
        <w:rPr>
          <w:rFonts w:cstheme="minorHAnsi"/>
        </w:rPr>
      </w:pPr>
      <w:bookmarkStart w:id="0" w:name="_Hlk5097950"/>
      <w:r>
        <w:t>M.Sc</w:t>
      </w:r>
      <w:r w:rsidR="005A28DB" w:rsidRPr="005A28DB">
        <w:t>.</w:t>
      </w:r>
      <w:r>
        <w:t xml:space="preserve"> in bi</w:t>
      </w:r>
      <w:r w:rsidR="008E328D">
        <w:t>omedical sciences, microbiology</w:t>
      </w:r>
      <w:r>
        <w:t>, pharmacy</w:t>
      </w:r>
      <w:r w:rsidR="008E328D">
        <w:t xml:space="preserve">, organic chemistry, </w:t>
      </w:r>
      <w:r>
        <w:t xml:space="preserve">or </w:t>
      </w:r>
      <w:r w:rsidR="0063783D">
        <w:t>an</w:t>
      </w:r>
      <w:r>
        <w:t xml:space="preserve">other relevant area specific </w:t>
      </w:r>
      <w:bookmarkEnd w:id="0"/>
      <w:r>
        <w:t xml:space="preserve">to </w:t>
      </w:r>
      <w:r w:rsidR="008E328D">
        <w:t>R&amp;D of antimicrobials</w:t>
      </w:r>
      <w:r w:rsidR="00CA5780">
        <w:t xml:space="preserve"> and/or </w:t>
      </w:r>
      <w:r>
        <w:t>antimicrobial resistance</w:t>
      </w:r>
    </w:p>
    <w:p w:rsidR="00116A84" w:rsidRPr="00170247" w:rsidRDefault="00116A84" w:rsidP="00170247">
      <w:pPr>
        <w:spacing w:after="60" w:line="240" w:lineRule="auto"/>
        <w:rPr>
          <w:rFonts w:cstheme="minorHAnsi"/>
        </w:rPr>
      </w:pPr>
      <w:r w:rsidRPr="00170247">
        <w:rPr>
          <w:rFonts w:cstheme="minorHAnsi"/>
          <w:u w:val="single"/>
        </w:rPr>
        <w:t>Experience required</w:t>
      </w:r>
      <w:r w:rsidRPr="00170247">
        <w:rPr>
          <w:rFonts w:cstheme="minorHAnsi"/>
        </w:rPr>
        <w:t>:</w:t>
      </w:r>
    </w:p>
    <w:p w:rsidR="008E328D" w:rsidRPr="00D00B4E" w:rsidRDefault="008E328D" w:rsidP="008E328D">
      <w:pPr>
        <w:pStyle w:val="ListParagraph"/>
        <w:numPr>
          <w:ilvl w:val="0"/>
          <w:numId w:val="10"/>
        </w:numPr>
        <w:spacing w:after="60" w:line="240" w:lineRule="auto"/>
        <w:ind w:left="284" w:hanging="284"/>
      </w:pPr>
      <w:bookmarkStart w:id="1" w:name="_Hlk5097925"/>
      <w:r w:rsidRPr="00D00B4E">
        <w:t xml:space="preserve">At least </w:t>
      </w:r>
      <w:r>
        <w:t>5</w:t>
      </w:r>
      <w:r w:rsidRPr="00D00B4E">
        <w:t xml:space="preserve"> years of relevant experience in the area of microbiology, antibacterial drug R&amp;D </w:t>
      </w:r>
      <w:r w:rsidR="0052310C">
        <w:t>and/or antimicrobial resistance;</w:t>
      </w:r>
    </w:p>
    <w:p w:rsidR="008E328D" w:rsidRDefault="008E328D" w:rsidP="008E328D">
      <w:pPr>
        <w:pStyle w:val="ListParagraph"/>
        <w:numPr>
          <w:ilvl w:val="0"/>
          <w:numId w:val="10"/>
        </w:numPr>
        <w:spacing w:after="60" w:line="240" w:lineRule="auto"/>
        <w:ind w:left="284" w:hanging="284"/>
      </w:pPr>
      <w:r>
        <w:t xml:space="preserve">Experience working in an </w:t>
      </w:r>
      <w:r w:rsidR="0052310C">
        <w:t>international context desirable;</w:t>
      </w:r>
    </w:p>
    <w:p w:rsidR="008E328D" w:rsidRDefault="005B6706" w:rsidP="008E328D">
      <w:pPr>
        <w:pStyle w:val="ListParagraph"/>
        <w:numPr>
          <w:ilvl w:val="0"/>
          <w:numId w:val="10"/>
        </w:numPr>
        <w:spacing w:after="60" w:line="240" w:lineRule="auto"/>
        <w:ind w:left="284" w:hanging="284"/>
      </w:pPr>
      <w:r>
        <w:t>Very good</w:t>
      </w:r>
      <w:r w:rsidR="008E328D" w:rsidRPr="00D00B4E">
        <w:t xml:space="preserve"> writing skills</w:t>
      </w:r>
      <w:r w:rsidR="008E328D" w:rsidRPr="008E7009">
        <w:t xml:space="preserve"> </w:t>
      </w:r>
      <w:r w:rsidR="008E328D">
        <w:t>demonstrated through p</w:t>
      </w:r>
      <w:r w:rsidR="008E328D" w:rsidRPr="00D00B4E">
        <w:t xml:space="preserve">eer-reviewed publications on </w:t>
      </w:r>
      <w:r w:rsidR="008E328D">
        <w:t>clinical microbiology, epidemiology</w:t>
      </w:r>
      <w:r>
        <w:t xml:space="preserve">, drug development or </w:t>
      </w:r>
      <w:r w:rsidR="001343CD">
        <w:t xml:space="preserve">utilization </w:t>
      </w:r>
      <w:r w:rsidR="0052310C">
        <w:t>and/or antimicrobial resistance;</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Ability to work independently and in a team</w:t>
      </w:r>
      <w:r w:rsidR="0052310C">
        <w:rPr>
          <w:rFonts w:cstheme="minorHAnsi"/>
          <w:lang w:val="en-US"/>
        </w:rPr>
        <w:t>;</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Ability to work under press</w:t>
      </w:r>
      <w:r w:rsidR="000C4017">
        <w:rPr>
          <w:rFonts w:cstheme="minorHAnsi"/>
          <w:lang w:val="en-US"/>
        </w:rPr>
        <w:t>ure with conflicting priorities</w:t>
      </w:r>
      <w:r w:rsidR="0052310C">
        <w:rPr>
          <w:rFonts w:cstheme="minorHAnsi"/>
          <w:lang w:val="en-US"/>
        </w:rPr>
        <w:t>;</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Excellent interpersonal and communication skills</w:t>
      </w:r>
      <w:r w:rsidR="0052310C">
        <w:rPr>
          <w:rFonts w:cstheme="minorHAnsi"/>
          <w:lang w:val="en-US"/>
        </w:rPr>
        <w:t>; and</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C</w:t>
      </w:r>
      <w:r w:rsidR="00FB2D76">
        <w:rPr>
          <w:rFonts w:cstheme="minorHAnsi"/>
          <w:lang w:val="en-US"/>
        </w:rPr>
        <w:t xml:space="preserve">omputer literacy (Word, Excel, </w:t>
      </w:r>
      <w:proofErr w:type="spellStart"/>
      <w:r w:rsidR="00FB2D76">
        <w:rPr>
          <w:rFonts w:cstheme="minorHAnsi"/>
          <w:lang w:val="en-US"/>
        </w:rPr>
        <w:t>P</w:t>
      </w:r>
      <w:r w:rsidRPr="000C4017">
        <w:rPr>
          <w:rFonts w:cstheme="minorHAnsi"/>
          <w:lang w:val="en-US"/>
        </w:rPr>
        <w:t>owerpoint</w:t>
      </w:r>
      <w:proofErr w:type="spellEnd"/>
      <w:r w:rsidRPr="000C4017">
        <w:rPr>
          <w:rFonts w:cstheme="minorHAnsi"/>
          <w:lang w:val="en-US"/>
        </w:rPr>
        <w:t xml:space="preserve"> etc.)</w:t>
      </w:r>
      <w:r w:rsidR="0052310C">
        <w:rPr>
          <w:rFonts w:cstheme="minorHAnsi"/>
          <w:lang w:val="en-US"/>
        </w:rPr>
        <w:t xml:space="preserve">. </w:t>
      </w:r>
    </w:p>
    <w:bookmarkEnd w:id="1"/>
    <w:p w:rsidR="000C4017" w:rsidRPr="000C4017" w:rsidRDefault="000C4017" w:rsidP="000C4017">
      <w:pPr>
        <w:pStyle w:val="ListParagraph"/>
        <w:spacing w:after="0" w:line="240" w:lineRule="auto"/>
        <w:rPr>
          <w:rFonts w:asciiTheme="majorBidi" w:hAnsiTheme="majorBidi" w:cstheme="majorBidi"/>
          <w:lang w:val="en-US"/>
        </w:rPr>
      </w:pPr>
    </w:p>
    <w:p w:rsidR="00116A84" w:rsidRDefault="004B7773" w:rsidP="00116A84">
      <w:pPr>
        <w:spacing w:after="60" w:line="240" w:lineRule="auto"/>
        <w:rPr>
          <w:rFonts w:cstheme="minorHAnsi"/>
        </w:rPr>
      </w:pPr>
      <w:r w:rsidRPr="009439E6">
        <w:rPr>
          <w:rFonts w:cstheme="minorHAnsi"/>
          <w:u w:val="single"/>
        </w:rPr>
        <w:t>Language requirements</w:t>
      </w:r>
      <w:r>
        <w:rPr>
          <w:rFonts w:cstheme="minorHAnsi"/>
        </w:rPr>
        <w:t>:</w:t>
      </w:r>
    </w:p>
    <w:p w:rsidR="009439E6" w:rsidRPr="000C4017" w:rsidRDefault="005C1DAB" w:rsidP="005C1DAB">
      <w:pPr>
        <w:pStyle w:val="ListParagraph"/>
        <w:numPr>
          <w:ilvl w:val="0"/>
          <w:numId w:val="12"/>
        </w:numPr>
        <w:spacing w:after="60" w:line="240" w:lineRule="auto"/>
        <w:ind w:left="284" w:hanging="284"/>
        <w:rPr>
          <w:rFonts w:cstheme="minorHAnsi"/>
        </w:rPr>
      </w:pPr>
      <w:bookmarkStart w:id="2" w:name="_Hlk5097983"/>
      <w:r w:rsidRPr="000C4017">
        <w:rPr>
          <w:rFonts w:cstheme="minorHAnsi"/>
        </w:rPr>
        <w:t>English – proficient (reading, writing, speaking)</w:t>
      </w:r>
    </w:p>
    <w:bookmarkEnd w:id="2"/>
    <w:p w:rsidR="005C1DAB" w:rsidRPr="005C1DAB" w:rsidRDefault="005C1DAB" w:rsidP="005C1DAB">
      <w:pPr>
        <w:pStyle w:val="ListParagraph"/>
        <w:spacing w:after="60" w:line="240" w:lineRule="auto"/>
        <w:rPr>
          <w:rFonts w:cstheme="minorHAnsi"/>
          <w:sz w:val="20"/>
          <w:szCs w:val="20"/>
        </w:rPr>
      </w:pPr>
    </w:p>
    <w:p w:rsidR="00DD12DB" w:rsidRPr="00C65C62" w:rsidRDefault="00DD12DB" w:rsidP="00DD12DB">
      <w:pPr>
        <w:pStyle w:val="ListParagraph"/>
        <w:numPr>
          <w:ilvl w:val="0"/>
          <w:numId w:val="1"/>
        </w:numPr>
        <w:spacing w:after="60" w:line="240" w:lineRule="auto"/>
        <w:rPr>
          <w:rFonts w:cstheme="minorHAnsi"/>
          <w:b/>
          <w:bCs/>
        </w:rPr>
      </w:pPr>
      <w:r w:rsidRPr="00C65C62">
        <w:rPr>
          <w:rFonts w:cstheme="minorHAnsi"/>
          <w:b/>
          <w:bCs/>
        </w:rPr>
        <w:t>Place of assignment</w:t>
      </w:r>
    </w:p>
    <w:p w:rsidR="005C1DAB" w:rsidRPr="00C65C62" w:rsidRDefault="00C122F6" w:rsidP="005C1DAB">
      <w:pPr>
        <w:spacing w:after="60"/>
        <w:rPr>
          <w:rFonts w:cstheme="minorHAnsi"/>
        </w:rPr>
      </w:pPr>
      <w:r>
        <w:rPr>
          <w:rFonts w:cstheme="minorHAnsi"/>
        </w:rPr>
        <w:t>Geneva, Switzerland</w:t>
      </w:r>
    </w:p>
    <w:p w:rsidR="00CA4FCF" w:rsidRDefault="00CA4FCF" w:rsidP="00CA4FCF">
      <w:pPr>
        <w:pStyle w:val="ListParagraph"/>
        <w:spacing w:after="60" w:line="240" w:lineRule="auto"/>
        <w:ind w:left="360"/>
        <w:rPr>
          <w:rFonts w:cstheme="minorHAnsi"/>
          <w:b/>
          <w:bCs/>
        </w:rPr>
      </w:pPr>
    </w:p>
    <w:p w:rsidR="00DD12DB" w:rsidRPr="00C65C62" w:rsidRDefault="00DD12DB" w:rsidP="00DD12DB">
      <w:pPr>
        <w:pStyle w:val="ListParagraph"/>
        <w:numPr>
          <w:ilvl w:val="0"/>
          <w:numId w:val="1"/>
        </w:numPr>
        <w:spacing w:after="60" w:line="240" w:lineRule="auto"/>
        <w:rPr>
          <w:rFonts w:cstheme="minorHAnsi"/>
          <w:b/>
          <w:bCs/>
        </w:rPr>
      </w:pPr>
      <w:r w:rsidRPr="00C65C62">
        <w:rPr>
          <w:rFonts w:cstheme="minorHAnsi"/>
          <w:b/>
          <w:bCs/>
        </w:rPr>
        <w:t>Travel</w:t>
      </w:r>
    </w:p>
    <w:p w:rsidR="00DD12DB" w:rsidRPr="00C65C62" w:rsidRDefault="00C65C62" w:rsidP="00C65C62">
      <w:pPr>
        <w:spacing w:after="60" w:line="240" w:lineRule="auto"/>
        <w:rPr>
          <w:rFonts w:cstheme="minorHAnsi"/>
        </w:rPr>
      </w:pPr>
      <w:r w:rsidRPr="00C65C62">
        <w:rPr>
          <w:rFonts w:cstheme="minorHAnsi"/>
        </w:rPr>
        <w:t xml:space="preserve">Dependent on </w:t>
      </w:r>
      <w:r w:rsidR="0063783D">
        <w:rPr>
          <w:rFonts w:cstheme="minorHAnsi"/>
        </w:rPr>
        <w:t xml:space="preserve">the </w:t>
      </w:r>
      <w:r w:rsidRPr="00C65C62">
        <w:rPr>
          <w:rFonts w:cstheme="minorHAnsi"/>
        </w:rPr>
        <w:t>specific assignment of the consultancy</w:t>
      </w:r>
    </w:p>
    <w:p w:rsidR="00C65C62" w:rsidRDefault="00C65C62" w:rsidP="00C65C62">
      <w:pPr>
        <w:spacing w:after="60" w:line="240" w:lineRule="auto"/>
        <w:rPr>
          <w:rFonts w:cstheme="minorHAnsi"/>
        </w:rPr>
      </w:pPr>
    </w:p>
    <w:p w:rsidR="009E5FD1" w:rsidRPr="00E9376C" w:rsidRDefault="00E9376C" w:rsidP="00C05E37">
      <w:pPr>
        <w:spacing w:after="60" w:line="240" w:lineRule="auto"/>
        <w:rPr>
          <w:rFonts w:cstheme="minorHAnsi"/>
          <w:iCs/>
        </w:rPr>
      </w:pPr>
      <w:r>
        <w:rPr>
          <w:rFonts w:cstheme="minorHAnsi"/>
          <w:iCs/>
        </w:rPr>
        <w:t>If travel is required, a</w:t>
      </w:r>
      <w:r w:rsidR="009E5FD1" w:rsidRPr="00E9376C">
        <w:rPr>
          <w:rFonts w:cstheme="minorHAnsi"/>
          <w:iCs/>
        </w:rPr>
        <w:t xml:space="preserve">ll </w:t>
      </w:r>
      <w:r w:rsidR="009E5FD1" w:rsidRPr="00E9376C">
        <w:rPr>
          <w:rFonts w:cstheme="minorHAnsi"/>
          <w:b/>
          <w:bCs/>
          <w:iCs/>
        </w:rPr>
        <w:t>travel arrangements</w:t>
      </w:r>
      <w:r w:rsidR="009E5FD1" w:rsidRPr="00E9376C">
        <w:rPr>
          <w:rFonts w:cstheme="minorHAnsi"/>
          <w:iCs/>
        </w:rPr>
        <w:t xml:space="preserve"> will be made by WHO – WHO will not be responsible for tickets purchased by the Consultant without the express, prior authorization of WHO. While on </w:t>
      </w:r>
      <w:r w:rsidR="0063783D">
        <w:rPr>
          <w:rFonts w:cstheme="minorHAnsi"/>
          <w:iCs/>
        </w:rPr>
        <w:t xml:space="preserve">a </w:t>
      </w:r>
      <w:r w:rsidR="009E5FD1" w:rsidRPr="00E9376C">
        <w:rPr>
          <w:rFonts w:cstheme="minorHAnsi"/>
          <w:iCs/>
        </w:rPr>
        <w:t xml:space="preserve">mission under the terms of this consultancy, the Consultant will receive </w:t>
      </w:r>
      <w:r w:rsidR="001343CD">
        <w:rPr>
          <w:rFonts w:cstheme="minorHAnsi"/>
          <w:iCs/>
        </w:rPr>
        <w:t xml:space="preserve">a </w:t>
      </w:r>
      <w:r w:rsidR="009E5FD1" w:rsidRPr="00E9376C">
        <w:rPr>
          <w:rFonts w:cstheme="minorHAnsi"/>
          <w:b/>
          <w:bCs/>
          <w:iCs/>
        </w:rPr>
        <w:t>subsistence allowance</w:t>
      </w:r>
      <w:r w:rsidR="00C05E37" w:rsidRPr="00E9376C">
        <w:rPr>
          <w:rFonts w:cstheme="minorHAnsi"/>
          <w:iCs/>
        </w:rPr>
        <w:t>.</w:t>
      </w:r>
    </w:p>
    <w:p w:rsidR="009E5FD1" w:rsidRPr="00E9376C" w:rsidRDefault="009E5FD1" w:rsidP="009E5FD1">
      <w:pPr>
        <w:spacing w:after="60" w:line="240" w:lineRule="auto"/>
        <w:rPr>
          <w:rFonts w:cstheme="minorHAnsi"/>
          <w:iCs/>
        </w:rPr>
      </w:pPr>
      <w:r w:rsidRPr="00E9376C">
        <w:rPr>
          <w:rFonts w:cstheme="minorHAnsi"/>
          <w:iCs/>
        </w:rPr>
        <w:t xml:space="preserve">Visas requirements: it is the consultant’s responsibility to </w:t>
      </w:r>
      <w:proofErr w:type="spellStart"/>
      <w:r w:rsidRPr="00E9376C">
        <w:rPr>
          <w:rFonts w:cstheme="minorHAnsi"/>
          <w:iCs/>
        </w:rPr>
        <w:t>fulfi</w:t>
      </w:r>
      <w:r w:rsidR="001343CD">
        <w:rPr>
          <w:rFonts w:cstheme="minorHAnsi"/>
          <w:iCs/>
        </w:rPr>
        <w:t>l</w:t>
      </w:r>
      <w:r w:rsidRPr="00E9376C">
        <w:rPr>
          <w:rFonts w:cstheme="minorHAnsi"/>
          <w:iCs/>
        </w:rPr>
        <w:t>l</w:t>
      </w:r>
      <w:proofErr w:type="spellEnd"/>
      <w:r w:rsidRPr="00E9376C">
        <w:rPr>
          <w:rFonts w:cstheme="minorHAnsi"/>
          <w:iCs/>
        </w:rPr>
        <w:t xml:space="preserve"> </w:t>
      </w:r>
      <w:r w:rsidRPr="00E9376C">
        <w:rPr>
          <w:rFonts w:cstheme="minorHAnsi"/>
          <w:b/>
          <w:bCs/>
          <w:iCs/>
        </w:rPr>
        <w:t>visa requirements</w:t>
      </w:r>
      <w:r w:rsidR="0063783D">
        <w:rPr>
          <w:rFonts w:cstheme="minorHAnsi"/>
          <w:iCs/>
        </w:rPr>
        <w:t xml:space="preserve"> and ask for a </w:t>
      </w:r>
      <w:r w:rsidRPr="00E9376C">
        <w:rPr>
          <w:rFonts w:cstheme="minorHAnsi"/>
          <w:iCs/>
        </w:rPr>
        <w:t>visa support letter(s) if needed.</w:t>
      </w:r>
    </w:p>
    <w:p w:rsidR="009E5FD1" w:rsidRPr="00E9376C" w:rsidRDefault="009E5FD1" w:rsidP="009E5FD1">
      <w:pPr>
        <w:spacing w:after="60" w:line="240" w:lineRule="auto"/>
        <w:rPr>
          <w:rFonts w:cstheme="minorHAnsi"/>
        </w:rPr>
      </w:pPr>
    </w:p>
    <w:p w:rsidR="00544172" w:rsidRPr="00E9376C" w:rsidRDefault="00E9376C" w:rsidP="00E9376C">
      <w:pPr>
        <w:pStyle w:val="ListParagraph"/>
        <w:numPr>
          <w:ilvl w:val="0"/>
          <w:numId w:val="1"/>
        </w:numPr>
        <w:spacing w:after="60" w:line="240" w:lineRule="auto"/>
        <w:rPr>
          <w:rFonts w:cstheme="minorHAnsi"/>
          <w:b/>
        </w:rPr>
      </w:pPr>
      <w:r w:rsidRPr="00E9376C">
        <w:rPr>
          <w:rFonts w:cstheme="minorHAnsi"/>
          <w:b/>
        </w:rPr>
        <w:t>Additional information</w:t>
      </w:r>
    </w:p>
    <w:p w:rsidR="005A28DB" w:rsidRDefault="004A51F1" w:rsidP="00E9376C">
      <w:pPr>
        <w:spacing w:after="60" w:line="240" w:lineRule="auto"/>
        <w:rPr>
          <w:rFonts w:cstheme="minorHAnsi"/>
        </w:rPr>
      </w:pPr>
      <w:r w:rsidRPr="004A51F1">
        <w:rPr>
          <w:rFonts w:cstheme="minorHAnsi"/>
        </w:rPr>
        <w:t xml:space="preserve">The consultant monthly rates will be based on Young Professionals / Specialists pay band ranges, i.e. between US$ 6,500 and US$ 7,500 depending on the selected consultant’s expertise and years of experience. A cost of living allowance of up to 3,000 CHF </w:t>
      </w:r>
      <w:r w:rsidR="00CA4FCF">
        <w:rPr>
          <w:rFonts w:cstheme="minorHAnsi"/>
        </w:rPr>
        <w:t xml:space="preserve">per month may also be available depending on the usual place of </w:t>
      </w:r>
      <w:proofErr w:type="spellStart"/>
      <w:r w:rsidR="00CA4FCF">
        <w:rPr>
          <w:rFonts w:cstheme="minorHAnsi"/>
        </w:rPr>
        <w:t>resicence</w:t>
      </w:r>
      <w:proofErr w:type="spellEnd"/>
      <w:r w:rsidR="00CA4FCF">
        <w:rPr>
          <w:rFonts w:cstheme="minorHAnsi"/>
        </w:rPr>
        <w:t xml:space="preserve"> of the selected consultant.</w:t>
      </w:r>
    </w:p>
    <w:p w:rsidR="005A28DB" w:rsidRPr="005A28DB" w:rsidRDefault="005A28DB" w:rsidP="005A28DB">
      <w:pPr>
        <w:rPr>
          <w:rFonts w:cstheme="minorHAnsi"/>
          <w:b/>
        </w:rPr>
      </w:pPr>
      <w:r w:rsidRPr="005A28DB">
        <w:rPr>
          <w:rFonts w:cstheme="minorHAnsi"/>
          <w:b/>
        </w:rPr>
        <w:lastRenderedPageBreak/>
        <w:t>Please submit</w:t>
      </w:r>
      <w:r w:rsidR="000229A7">
        <w:rPr>
          <w:rFonts w:cstheme="minorHAnsi"/>
          <w:b/>
        </w:rPr>
        <w:t xml:space="preserve"> the</w:t>
      </w:r>
      <w:r w:rsidRPr="005A28DB">
        <w:rPr>
          <w:rFonts w:cstheme="minorHAnsi"/>
          <w:b/>
        </w:rPr>
        <w:t xml:space="preserve"> following documents to</w:t>
      </w:r>
      <w:r w:rsidR="00AD3D75" w:rsidRPr="00AD3D75">
        <w:t xml:space="preserve"> </w:t>
      </w:r>
      <w:hyperlink r:id="rId11" w:history="1">
        <w:r w:rsidR="00FB2D76" w:rsidRPr="00DB3176">
          <w:rPr>
            <w:rStyle w:val="Hyperlink"/>
            <w:rFonts w:cstheme="minorHAnsi"/>
            <w:b/>
          </w:rPr>
          <w:t>antibacterialpipeline@who.int</w:t>
        </w:r>
      </w:hyperlink>
      <w:r w:rsidR="00FB2D76">
        <w:rPr>
          <w:rFonts w:cstheme="minorHAnsi"/>
          <w:b/>
        </w:rPr>
        <w:t xml:space="preserve"> </w:t>
      </w:r>
      <w:r w:rsidRPr="005A28DB">
        <w:rPr>
          <w:rFonts w:cstheme="minorHAnsi"/>
          <w:b/>
        </w:rPr>
        <w:t>by</w:t>
      </w:r>
      <w:r w:rsidR="00152547">
        <w:rPr>
          <w:rFonts w:cstheme="minorHAnsi"/>
          <w:b/>
        </w:rPr>
        <w:t xml:space="preserve"> </w:t>
      </w:r>
      <w:r w:rsidR="004A51F1">
        <w:rPr>
          <w:rFonts w:cstheme="minorHAnsi"/>
          <w:b/>
        </w:rPr>
        <w:t>7 April</w:t>
      </w:r>
      <w:r w:rsidR="00AD3D75">
        <w:rPr>
          <w:rFonts w:cstheme="minorHAnsi"/>
          <w:b/>
        </w:rPr>
        <w:t xml:space="preserve"> 2020</w:t>
      </w:r>
      <w:r w:rsidRPr="005A28DB">
        <w:rPr>
          <w:rFonts w:cstheme="minorHAnsi"/>
          <w:b/>
        </w:rPr>
        <w:t xml:space="preserve"> </w:t>
      </w:r>
      <w:r w:rsidR="000229A7">
        <w:rPr>
          <w:rFonts w:cstheme="minorHAnsi"/>
          <w:b/>
        </w:rPr>
        <w:t>17</w:t>
      </w:r>
      <w:r w:rsidR="00CA4FCF">
        <w:rPr>
          <w:rFonts w:cstheme="minorHAnsi"/>
          <w:b/>
        </w:rPr>
        <w:t>:</w:t>
      </w:r>
      <w:bookmarkStart w:id="3" w:name="_GoBack"/>
      <w:bookmarkEnd w:id="3"/>
      <w:r w:rsidR="000229A7">
        <w:rPr>
          <w:rFonts w:cstheme="minorHAnsi"/>
          <w:b/>
        </w:rPr>
        <w:t>00 Geneva time.</w:t>
      </w:r>
    </w:p>
    <w:p w:rsidR="005A28DB" w:rsidRPr="005A28DB" w:rsidRDefault="005A28DB" w:rsidP="005A28DB">
      <w:pPr>
        <w:numPr>
          <w:ilvl w:val="0"/>
          <w:numId w:val="17"/>
        </w:numPr>
        <w:spacing w:after="0" w:line="240" w:lineRule="auto"/>
        <w:rPr>
          <w:rFonts w:eastAsia="Times New Roman" w:cstheme="minorHAnsi"/>
        </w:rPr>
      </w:pPr>
      <w:r w:rsidRPr="005A28DB">
        <w:rPr>
          <w:rFonts w:eastAsia="Times New Roman" w:cstheme="minorHAnsi"/>
        </w:rPr>
        <w:t>Expression of intere</w:t>
      </w:r>
      <w:r w:rsidR="004A51F1">
        <w:rPr>
          <w:rFonts w:eastAsia="Times New Roman" w:cstheme="minorHAnsi"/>
        </w:rPr>
        <w:t>st (cover letter)</w:t>
      </w:r>
      <w:r w:rsidR="00813548">
        <w:rPr>
          <w:rFonts w:eastAsia="Times New Roman" w:cstheme="minorHAnsi"/>
        </w:rPr>
        <w:t>;</w:t>
      </w:r>
    </w:p>
    <w:p w:rsidR="005A28DB" w:rsidRDefault="00CA4FCF" w:rsidP="00CA4FCF">
      <w:pPr>
        <w:numPr>
          <w:ilvl w:val="0"/>
          <w:numId w:val="17"/>
        </w:numPr>
        <w:spacing w:after="0" w:line="240" w:lineRule="auto"/>
        <w:rPr>
          <w:rFonts w:cstheme="minorHAnsi"/>
        </w:rPr>
      </w:pPr>
      <w:r>
        <w:rPr>
          <w:rFonts w:eastAsia="Times New Roman" w:cstheme="minorHAnsi"/>
        </w:rPr>
        <w:t xml:space="preserve">CV, preferably from </w:t>
      </w:r>
      <w:r w:rsidR="006D2AD9">
        <w:rPr>
          <w:rFonts w:eastAsia="Times New Roman" w:cstheme="minorHAnsi"/>
        </w:rPr>
        <w:t xml:space="preserve">WHO </w:t>
      </w:r>
      <w:proofErr w:type="spellStart"/>
      <w:r w:rsidR="006D2AD9">
        <w:rPr>
          <w:rFonts w:eastAsia="Times New Roman" w:cstheme="minorHAnsi"/>
        </w:rPr>
        <w:t>S</w:t>
      </w:r>
      <w:r w:rsidR="005A28DB" w:rsidRPr="005A28DB">
        <w:rPr>
          <w:rFonts w:eastAsia="Times New Roman" w:cstheme="minorHAnsi"/>
        </w:rPr>
        <w:t>tellis</w:t>
      </w:r>
      <w:proofErr w:type="spellEnd"/>
      <w:r w:rsidR="005A28DB" w:rsidRPr="005A28DB">
        <w:rPr>
          <w:rFonts w:eastAsia="Times New Roman" w:cstheme="minorHAnsi"/>
        </w:rPr>
        <w:t xml:space="preserve"> profile</w:t>
      </w:r>
      <w:r w:rsidR="004A51F1">
        <w:rPr>
          <w:rFonts w:eastAsia="Times New Roman" w:cstheme="minorHAnsi"/>
        </w:rPr>
        <w:t xml:space="preserve"> (</w:t>
      </w:r>
      <w:r w:rsidR="004A51F1" w:rsidRPr="00377AC0">
        <w:rPr>
          <w:rFonts w:eastAsia="Times New Roman" w:cstheme="minorHAnsi"/>
          <w:u w:val="single"/>
        </w:rPr>
        <w:t>https://careers.who.int/careersection/ex/)</w:t>
      </w:r>
      <w:r>
        <w:rPr>
          <w:rFonts w:eastAsia="Times New Roman" w:cstheme="minorHAnsi"/>
        </w:rPr>
        <w:t>.</w:t>
      </w:r>
    </w:p>
    <w:p w:rsidR="000229A7" w:rsidRPr="000229A7" w:rsidRDefault="000229A7" w:rsidP="000229A7">
      <w:pPr>
        <w:spacing w:after="0" w:line="240" w:lineRule="auto"/>
        <w:ind w:left="720"/>
        <w:rPr>
          <w:rFonts w:cstheme="minorHAnsi"/>
        </w:rPr>
      </w:pPr>
    </w:p>
    <w:p w:rsidR="005A28DB" w:rsidRPr="00FF71A5" w:rsidRDefault="005A28DB" w:rsidP="005A28DB">
      <w:pPr>
        <w:spacing w:after="0" w:line="240" w:lineRule="auto"/>
        <w:rPr>
          <w:rFonts w:ascii="Times New Roman" w:hAnsi="Times New Roman"/>
        </w:rPr>
      </w:pPr>
    </w:p>
    <w:p w:rsidR="005A28DB" w:rsidRPr="00E9376C" w:rsidRDefault="005A28DB" w:rsidP="00E9376C">
      <w:pPr>
        <w:spacing w:after="60" w:line="240" w:lineRule="auto"/>
        <w:rPr>
          <w:rFonts w:cstheme="minorHAnsi"/>
        </w:rPr>
      </w:pPr>
    </w:p>
    <w:p w:rsidR="00544172" w:rsidRDefault="00544172" w:rsidP="009E5FD1">
      <w:pPr>
        <w:spacing w:after="60" w:line="240" w:lineRule="auto"/>
        <w:rPr>
          <w:rFonts w:cstheme="minorHAnsi"/>
        </w:rPr>
      </w:pPr>
    </w:p>
    <w:sectPr w:rsidR="00544172" w:rsidSect="000004D1">
      <w:footerReference w:type="default" r:id="rId12"/>
      <w:pgSz w:w="11906" w:h="16838"/>
      <w:pgMar w:top="1134" w:right="1021"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5FE" w:rsidRDefault="00B105FE" w:rsidP="00116345">
      <w:pPr>
        <w:spacing w:after="0" w:line="240" w:lineRule="auto"/>
      </w:pPr>
      <w:r>
        <w:separator/>
      </w:r>
    </w:p>
  </w:endnote>
  <w:endnote w:type="continuationSeparator" w:id="0">
    <w:p w:rsidR="00B105FE" w:rsidRDefault="00B105FE"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Helvetica">
    <w:altName w:val="Sylfaen"/>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45" w:rsidRDefault="00116345" w:rsidP="00051998">
    <w:pPr>
      <w:pStyle w:val="Footer"/>
      <w:jc w:val="right"/>
      <w:rPr>
        <w:b/>
        <w:bCs/>
        <w:color w:val="808080" w:themeColor="background1" w:themeShade="80"/>
        <w:sz w:val="14"/>
        <w:szCs w:val="14"/>
      </w:rPr>
    </w:pPr>
    <w:r w:rsidRPr="00116345">
      <w:rPr>
        <w:b/>
        <w:bCs/>
        <w:color w:val="808080" w:themeColor="background1" w:themeShade="80"/>
        <w:sz w:val="14"/>
        <w:szCs w:val="14"/>
      </w:rPr>
      <w:t>Consultants_TermsOfReferenceTemplate_Version</w:t>
    </w:r>
    <w:r w:rsidR="00051998">
      <w:rPr>
        <w:b/>
        <w:bCs/>
        <w:color w:val="808080" w:themeColor="background1" w:themeShade="80"/>
        <w:sz w:val="14"/>
        <w:szCs w:val="14"/>
      </w:rPr>
      <w:t>2</w:t>
    </w:r>
    <w:r w:rsidRPr="00116345">
      <w:rPr>
        <w:b/>
        <w:bCs/>
        <w:color w:val="808080" w:themeColor="background1" w:themeShade="80"/>
        <w:sz w:val="14"/>
        <w:szCs w:val="14"/>
      </w:rPr>
      <w:t>_201</w:t>
    </w:r>
    <w:r w:rsidR="00051998">
      <w:rPr>
        <w:b/>
        <w:bCs/>
        <w:color w:val="808080" w:themeColor="background1" w:themeShade="80"/>
        <w:sz w:val="14"/>
        <w:szCs w:val="14"/>
      </w:rPr>
      <w:t>60329</w:t>
    </w:r>
    <w:r>
      <w:rPr>
        <w:b/>
        <w:bCs/>
        <w:color w:val="808080" w:themeColor="background1" w:themeShade="80"/>
        <w:sz w:val="14"/>
        <w:szCs w:val="14"/>
      </w:rPr>
      <w:t xml:space="preserve">  </w:t>
    </w:r>
  </w:p>
  <w:p w:rsidR="00116345" w:rsidRPr="00116345" w:rsidRDefault="00116345"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sidR="00C95A05">
      <w:rPr>
        <w:b/>
        <w:bCs/>
        <w:noProof/>
        <w:color w:val="808080" w:themeColor="background1" w:themeShade="80"/>
        <w:sz w:val="14"/>
        <w:szCs w:val="14"/>
      </w:rPr>
      <w:t>2</w:t>
    </w:r>
    <w:r w:rsidRPr="00116345">
      <w:rPr>
        <w:b/>
        <w:bCs/>
        <w:noProof/>
        <w:color w:val="808080" w:themeColor="background1" w:themeShade="80"/>
        <w:sz w:val="14"/>
        <w:szCs w:val="14"/>
      </w:rPr>
      <w:fldChar w:fldCharType="end"/>
    </w:r>
  </w:p>
  <w:p w:rsidR="00116345" w:rsidRDefault="00116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5FE" w:rsidRDefault="00B105FE" w:rsidP="00116345">
      <w:pPr>
        <w:spacing w:after="0" w:line="240" w:lineRule="auto"/>
      </w:pPr>
      <w:r>
        <w:separator/>
      </w:r>
    </w:p>
  </w:footnote>
  <w:footnote w:type="continuationSeparator" w:id="0">
    <w:p w:rsidR="00B105FE" w:rsidRDefault="00B105FE" w:rsidP="00116345">
      <w:pPr>
        <w:spacing w:after="0" w:line="240" w:lineRule="auto"/>
      </w:pPr>
      <w:r>
        <w:continuationSeparator/>
      </w:r>
    </w:p>
  </w:footnote>
  <w:footnote w:id="1">
    <w:p w:rsidR="001E7D3A" w:rsidRPr="00CC241B" w:rsidRDefault="001E7D3A" w:rsidP="001E7D3A">
      <w:pPr>
        <w:pStyle w:val="FootnoteText"/>
        <w:rPr>
          <w:rFonts w:asciiTheme="majorHAnsi" w:hAnsiTheme="majorHAnsi"/>
          <w:sz w:val="18"/>
          <w:szCs w:val="18"/>
        </w:rPr>
      </w:pPr>
      <w:r w:rsidRPr="00091AD4">
        <w:rPr>
          <w:rStyle w:val="FootnoteReference"/>
          <w:rFonts w:asciiTheme="majorHAnsi" w:hAnsiTheme="majorHAnsi"/>
          <w:sz w:val="18"/>
          <w:szCs w:val="18"/>
        </w:rPr>
        <w:footnoteRef/>
      </w:r>
      <w:r w:rsidRPr="00091AD4">
        <w:rPr>
          <w:rFonts w:asciiTheme="majorHAnsi" w:hAnsiTheme="majorHAnsi"/>
          <w:sz w:val="18"/>
          <w:szCs w:val="18"/>
        </w:rPr>
        <w:t xml:space="preserve"> Global Action Plan on Antimicrobial </w:t>
      </w:r>
      <w:r w:rsidRPr="00CC241B">
        <w:rPr>
          <w:rFonts w:asciiTheme="majorHAnsi" w:hAnsiTheme="majorHAnsi"/>
          <w:sz w:val="18"/>
          <w:szCs w:val="18"/>
        </w:rPr>
        <w:t xml:space="preserve">Resistance. </w:t>
      </w:r>
      <w:r w:rsidRPr="0030056C">
        <w:rPr>
          <w:rFonts w:asciiTheme="majorHAnsi" w:hAnsiTheme="majorHAnsi"/>
          <w:sz w:val="18"/>
          <w:szCs w:val="18"/>
        </w:rPr>
        <w:t>Geneva: World Health Organization; 2015</w:t>
      </w:r>
    </w:p>
  </w:footnote>
  <w:footnote w:id="2">
    <w:p w:rsidR="001E7D3A" w:rsidRPr="00091AD4" w:rsidRDefault="001E7D3A" w:rsidP="001E7D3A">
      <w:pPr>
        <w:pStyle w:val="FootnoteText"/>
        <w:rPr>
          <w:rFonts w:asciiTheme="majorHAnsi" w:hAnsiTheme="majorHAnsi"/>
          <w:sz w:val="18"/>
          <w:szCs w:val="18"/>
        </w:rPr>
      </w:pPr>
      <w:r w:rsidRPr="0030056C">
        <w:rPr>
          <w:rStyle w:val="FootnoteReference"/>
          <w:rFonts w:asciiTheme="majorHAnsi" w:hAnsiTheme="majorHAnsi"/>
          <w:sz w:val="18"/>
          <w:szCs w:val="18"/>
        </w:rPr>
        <w:footnoteRef/>
      </w:r>
      <w:r w:rsidRPr="0030056C">
        <w:rPr>
          <w:rStyle w:val="FootnoteReference"/>
        </w:rPr>
        <w:t xml:space="preserve"> </w:t>
      </w:r>
      <w:r w:rsidRPr="0030056C">
        <w:rPr>
          <w:rFonts w:asciiTheme="majorHAnsi" w:hAnsiTheme="majorHAnsi"/>
          <w:sz w:val="18"/>
          <w:szCs w:val="18"/>
        </w:rPr>
        <w:t>Political Declaration of the High-Level Meeting of the General Assembly on Antimicrobial Resistance. New York: United Nations; 2016</w:t>
      </w:r>
    </w:p>
  </w:footnote>
  <w:footnote w:id="3">
    <w:p w:rsidR="00A76992" w:rsidRPr="0063783D" w:rsidRDefault="00A76992">
      <w:pPr>
        <w:pStyle w:val="FootnoteText"/>
      </w:pPr>
      <w:r>
        <w:rPr>
          <w:rStyle w:val="FootnoteReference"/>
        </w:rPr>
        <w:footnoteRef/>
      </w:r>
      <w:r w:rsidRPr="0063783D">
        <w:t xml:space="preserve"> https://www.who.int/antimicrobial-resistance/interagency-coordination-group/en/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CEF"/>
    <w:multiLevelType w:val="hybridMultilevel"/>
    <w:tmpl w:val="5B3E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B8170F"/>
    <w:multiLevelType w:val="hybridMultilevel"/>
    <w:tmpl w:val="8F88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B1ACD"/>
    <w:multiLevelType w:val="hybridMultilevel"/>
    <w:tmpl w:val="C0647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A1114"/>
    <w:multiLevelType w:val="hybridMultilevel"/>
    <w:tmpl w:val="2056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840A59"/>
    <w:multiLevelType w:val="hybridMultilevel"/>
    <w:tmpl w:val="66F890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9458D"/>
    <w:multiLevelType w:val="hybridMultilevel"/>
    <w:tmpl w:val="D186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586DF6"/>
    <w:multiLevelType w:val="hybridMultilevel"/>
    <w:tmpl w:val="141CC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614A5B"/>
    <w:multiLevelType w:val="hybridMultilevel"/>
    <w:tmpl w:val="CFD6BADE"/>
    <w:lvl w:ilvl="0" w:tplc="08090001">
      <w:start w:val="1"/>
      <w:numFmt w:val="bullet"/>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11" w15:restartNumberingAfterBreak="0">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6143F3"/>
    <w:multiLevelType w:val="hybridMultilevel"/>
    <w:tmpl w:val="FF3419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2F97B9C"/>
    <w:multiLevelType w:val="hybridMultilevel"/>
    <w:tmpl w:val="FA9A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950548"/>
    <w:multiLevelType w:val="hybridMultilevel"/>
    <w:tmpl w:val="9C3C2318"/>
    <w:lvl w:ilvl="0" w:tplc="08090001">
      <w:start w:val="1"/>
      <w:numFmt w:val="bullet"/>
      <w:lvlText w:val=""/>
      <w:lvlJc w:val="left"/>
      <w:pPr>
        <w:ind w:left="720" w:hanging="360"/>
      </w:pPr>
      <w:rPr>
        <w:rFonts w:ascii="Symbol" w:hAnsi="Symbol" w:hint="default"/>
      </w:rPr>
    </w:lvl>
    <w:lvl w:ilvl="1" w:tplc="D134319A">
      <w:start w:val="3"/>
      <w:numFmt w:val="bullet"/>
      <w:lvlText w:val="•"/>
      <w:lvlJc w:val="left"/>
      <w:pPr>
        <w:ind w:left="1800" w:hanging="720"/>
      </w:pPr>
      <w:rPr>
        <w:rFonts w:ascii="Arial" w:eastAsia="Times New Roman"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8"/>
  </w:num>
  <w:num w:numId="4">
    <w:abstractNumId w:val="1"/>
  </w:num>
  <w:num w:numId="5">
    <w:abstractNumId w:val="15"/>
  </w:num>
  <w:num w:numId="6">
    <w:abstractNumId w:val="5"/>
  </w:num>
  <w:num w:numId="7">
    <w:abstractNumId w:val="11"/>
  </w:num>
  <w:num w:numId="8">
    <w:abstractNumId w:val="3"/>
  </w:num>
  <w:num w:numId="9">
    <w:abstractNumId w:val="0"/>
  </w:num>
  <w:num w:numId="10">
    <w:abstractNumId w:val="13"/>
  </w:num>
  <w:num w:numId="11">
    <w:abstractNumId w:val="10"/>
  </w:num>
  <w:num w:numId="12">
    <w:abstractNumId w:val="2"/>
  </w:num>
  <w:num w:numId="13">
    <w:abstractNumId w:val="4"/>
  </w:num>
  <w:num w:numId="14">
    <w:abstractNumId w:val="7"/>
  </w:num>
  <w:num w:numId="15">
    <w:abstractNumId w:val="12"/>
  </w:num>
  <w:num w:numId="16">
    <w:abstractNumId w:val="9"/>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AzNzQ0MDQzMrU0M7FU0lEKTi0uzszPAykwqQUABAee4iwAAAA="/>
  </w:docVars>
  <w:rsids>
    <w:rsidRoot w:val="000004D1"/>
    <w:rsid w:val="000004D1"/>
    <w:rsid w:val="000229A7"/>
    <w:rsid w:val="00044831"/>
    <w:rsid w:val="00051998"/>
    <w:rsid w:val="000C4017"/>
    <w:rsid w:val="00114DCC"/>
    <w:rsid w:val="00116345"/>
    <w:rsid w:val="00116A84"/>
    <w:rsid w:val="001343CD"/>
    <w:rsid w:val="00152547"/>
    <w:rsid w:val="00170247"/>
    <w:rsid w:val="00173AF4"/>
    <w:rsid w:val="001E1C08"/>
    <w:rsid w:val="001E4A69"/>
    <w:rsid w:val="001E7D3A"/>
    <w:rsid w:val="00252DA9"/>
    <w:rsid w:val="002B5A93"/>
    <w:rsid w:val="003345D1"/>
    <w:rsid w:val="00361ACA"/>
    <w:rsid w:val="00377AC0"/>
    <w:rsid w:val="003D7C02"/>
    <w:rsid w:val="003E37BD"/>
    <w:rsid w:val="00477957"/>
    <w:rsid w:val="004A51F1"/>
    <w:rsid w:val="004B05AB"/>
    <w:rsid w:val="004B5B76"/>
    <w:rsid w:val="004B7773"/>
    <w:rsid w:val="004E35BA"/>
    <w:rsid w:val="0052310C"/>
    <w:rsid w:val="00526342"/>
    <w:rsid w:val="00544172"/>
    <w:rsid w:val="005A28DB"/>
    <w:rsid w:val="005B6706"/>
    <w:rsid w:val="005C1DAB"/>
    <w:rsid w:val="0063783D"/>
    <w:rsid w:val="006D2AD9"/>
    <w:rsid w:val="006F337D"/>
    <w:rsid w:val="00776931"/>
    <w:rsid w:val="00795363"/>
    <w:rsid w:val="007A17C0"/>
    <w:rsid w:val="007A21A2"/>
    <w:rsid w:val="007A3AF8"/>
    <w:rsid w:val="007B1A21"/>
    <w:rsid w:val="007E44A4"/>
    <w:rsid w:val="00813548"/>
    <w:rsid w:val="008E328D"/>
    <w:rsid w:val="009439E6"/>
    <w:rsid w:val="009E5FD1"/>
    <w:rsid w:val="00A11483"/>
    <w:rsid w:val="00A1764C"/>
    <w:rsid w:val="00A30CC2"/>
    <w:rsid w:val="00A41380"/>
    <w:rsid w:val="00A737D8"/>
    <w:rsid w:val="00A76992"/>
    <w:rsid w:val="00AD3D75"/>
    <w:rsid w:val="00AF20FC"/>
    <w:rsid w:val="00B105FE"/>
    <w:rsid w:val="00B62B08"/>
    <w:rsid w:val="00C05E37"/>
    <w:rsid w:val="00C122F6"/>
    <w:rsid w:val="00C34B59"/>
    <w:rsid w:val="00C65C62"/>
    <w:rsid w:val="00C95A05"/>
    <w:rsid w:val="00CA4FCF"/>
    <w:rsid w:val="00CA5780"/>
    <w:rsid w:val="00D01B3C"/>
    <w:rsid w:val="00D17763"/>
    <w:rsid w:val="00D43A42"/>
    <w:rsid w:val="00DD12DB"/>
    <w:rsid w:val="00E9376C"/>
    <w:rsid w:val="00E960D3"/>
    <w:rsid w:val="00EB5484"/>
    <w:rsid w:val="00F900CD"/>
    <w:rsid w:val="00FB2D76"/>
    <w:rsid w:val="00FB7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CB9522"/>
  <w15:docId w15:val="{A749E989-2DA5-4F48-82D5-FA4E6A33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paragraph" w:styleId="FootnoteText">
    <w:name w:val="footnote text"/>
    <w:basedOn w:val="Normal"/>
    <w:link w:val="FootnoteTextChar"/>
    <w:uiPriority w:val="99"/>
    <w:semiHidden/>
    <w:unhideWhenUsed/>
    <w:rsid w:val="001E7D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7D3A"/>
    <w:rPr>
      <w:sz w:val="20"/>
      <w:szCs w:val="20"/>
    </w:rPr>
  </w:style>
  <w:style w:type="character" w:styleId="FootnoteReference">
    <w:name w:val="footnote reference"/>
    <w:basedOn w:val="DefaultParagraphFont"/>
    <w:uiPriority w:val="99"/>
    <w:semiHidden/>
    <w:unhideWhenUsed/>
    <w:rsid w:val="001E7D3A"/>
    <w:rPr>
      <w:vertAlign w:val="superscript"/>
    </w:rPr>
  </w:style>
  <w:style w:type="character" w:styleId="Hyperlink">
    <w:name w:val="Hyperlink"/>
    <w:basedOn w:val="DefaultParagraphFont"/>
    <w:uiPriority w:val="99"/>
    <w:unhideWhenUsed/>
    <w:rsid w:val="00C65C62"/>
    <w:rPr>
      <w:color w:val="0000FF" w:themeColor="hyperlink"/>
      <w:u w:val="single"/>
    </w:rPr>
  </w:style>
  <w:style w:type="character" w:styleId="UnresolvedMention">
    <w:name w:val="Unresolved Mention"/>
    <w:basedOn w:val="DefaultParagraphFont"/>
    <w:uiPriority w:val="99"/>
    <w:semiHidden/>
    <w:unhideWhenUsed/>
    <w:rsid w:val="00C65C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ibacterialpipeline@who.int" TargetMode="External"/><Relationship Id="rId5" Type="http://schemas.openxmlformats.org/officeDocument/2006/relationships/webSettings" Target="webSettings.xml"/><Relationship Id="rId10" Type="http://schemas.openxmlformats.org/officeDocument/2006/relationships/hyperlink" Target="mailto:beyerp@who.int" TargetMode="External"/><Relationship Id="rId4" Type="http://schemas.openxmlformats.org/officeDocument/2006/relationships/settings" Target="settings.xml"/><Relationship Id="rId9" Type="http://schemas.openxmlformats.org/officeDocument/2006/relationships/hyperlink" Target="mailto:paulins@who.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800B-3954-4331-916D-03305D1A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4766</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PACQUETET, Elise</dc:creator>
  <cp:lastModifiedBy>PACQUETET, Elise</cp:lastModifiedBy>
  <cp:revision>2</cp:revision>
  <cp:lastPrinted>2018-04-09T13:53:00Z</cp:lastPrinted>
  <dcterms:created xsi:type="dcterms:W3CDTF">2020-03-10T09:57:00Z</dcterms:created>
  <dcterms:modified xsi:type="dcterms:W3CDTF">2020-03-10T09:57:00Z</dcterms:modified>
</cp:coreProperties>
</file>