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611EED" w14:textId="2E5B46D4" w:rsidR="00DE2D1C" w:rsidRPr="004014B3" w:rsidRDefault="00FB27D4" w:rsidP="00D022D1">
      <w:pPr>
        <w:jc w:val="center"/>
        <w:rPr>
          <w:rFonts w:cs="Calibri"/>
          <w:b/>
          <w:lang w:val="ru-UA"/>
        </w:rPr>
      </w:pPr>
      <w:proofErr w:type="spellStart"/>
      <w:r>
        <w:rPr>
          <w:rFonts w:cs="Calibri"/>
          <w:b/>
          <w:lang w:val="ru-RU"/>
        </w:rPr>
        <w:t>Питання</w:t>
      </w:r>
      <w:proofErr w:type="spellEnd"/>
      <w:r>
        <w:rPr>
          <w:rFonts w:cs="Calibri"/>
          <w:b/>
          <w:lang w:val="ru-RU"/>
        </w:rPr>
        <w:t xml:space="preserve"> </w:t>
      </w:r>
      <w:proofErr w:type="spellStart"/>
      <w:r>
        <w:rPr>
          <w:rFonts w:cs="Calibri"/>
          <w:b/>
          <w:lang w:val="ru-RU"/>
        </w:rPr>
        <w:t>від</w:t>
      </w:r>
      <w:proofErr w:type="spellEnd"/>
      <w:r>
        <w:rPr>
          <w:rFonts w:cs="Calibri"/>
          <w:b/>
          <w:lang w:val="ru-RU"/>
        </w:rPr>
        <w:t xml:space="preserve"> </w:t>
      </w:r>
      <w:proofErr w:type="spellStart"/>
      <w:r>
        <w:rPr>
          <w:rFonts w:cs="Calibri"/>
          <w:b/>
          <w:lang w:val="ru-RU"/>
        </w:rPr>
        <w:t>організацій</w:t>
      </w:r>
      <w:proofErr w:type="spellEnd"/>
      <w:r>
        <w:rPr>
          <w:rFonts w:cs="Calibri"/>
          <w:b/>
          <w:lang w:val="ru-RU"/>
        </w:rPr>
        <w:t xml:space="preserve">, </w:t>
      </w:r>
      <w:proofErr w:type="spellStart"/>
      <w:r>
        <w:rPr>
          <w:rFonts w:cs="Calibri"/>
          <w:b/>
          <w:lang w:val="ru-RU"/>
        </w:rPr>
        <w:t>що</w:t>
      </w:r>
      <w:proofErr w:type="spellEnd"/>
      <w:r>
        <w:rPr>
          <w:rFonts w:cs="Calibri"/>
          <w:b/>
          <w:lang w:val="ru-RU"/>
        </w:rPr>
        <w:t xml:space="preserve"> </w:t>
      </w:r>
      <w:proofErr w:type="spellStart"/>
      <w:r w:rsidRPr="00FB27D4">
        <w:rPr>
          <w:rFonts w:cs="Calibri"/>
          <w:b/>
          <w:lang w:val="ru-RU"/>
        </w:rPr>
        <w:t>що</w:t>
      </w:r>
      <w:proofErr w:type="spellEnd"/>
      <w:r w:rsidRPr="00FB27D4">
        <w:rPr>
          <w:rFonts w:cs="Calibri"/>
          <w:b/>
          <w:lang w:val="ru-RU"/>
        </w:rPr>
        <w:t xml:space="preserve"> </w:t>
      </w:r>
      <w:proofErr w:type="spellStart"/>
      <w:r w:rsidRPr="00FB27D4">
        <w:rPr>
          <w:rFonts w:cs="Calibri"/>
          <w:b/>
          <w:lang w:val="ru-RU"/>
        </w:rPr>
        <w:t>плану</w:t>
      </w:r>
      <w:r>
        <w:rPr>
          <w:rFonts w:cs="Calibri"/>
          <w:b/>
          <w:lang w:val="ru-RU"/>
        </w:rPr>
        <w:t>ють</w:t>
      </w:r>
      <w:proofErr w:type="spellEnd"/>
      <w:r w:rsidRPr="00FB27D4">
        <w:rPr>
          <w:rFonts w:cs="Calibri"/>
          <w:b/>
          <w:lang w:val="ru-RU"/>
        </w:rPr>
        <w:t xml:space="preserve"> </w:t>
      </w:r>
      <w:proofErr w:type="spellStart"/>
      <w:r w:rsidRPr="00FB27D4">
        <w:rPr>
          <w:rFonts w:cs="Calibri"/>
          <w:b/>
          <w:lang w:val="ru-RU"/>
        </w:rPr>
        <w:t>подаватися</w:t>
      </w:r>
      <w:proofErr w:type="spellEnd"/>
      <w:r w:rsidRPr="00FB27D4">
        <w:rPr>
          <w:rFonts w:cs="Calibri"/>
          <w:b/>
          <w:lang w:val="ru-RU"/>
        </w:rPr>
        <w:t xml:space="preserve"> на конкурс з </w:t>
      </w:r>
      <w:proofErr w:type="spellStart"/>
      <w:r w:rsidRPr="00FB27D4">
        <w:rPr>
          <w:rFonts w:cs="Calibri"/>
          <w:b/>
          <w:lang w:val="ru-RU"/>
        </w:rPr>
        <w:t>адміністрації</w:t>
      </w:r>
      <w:proofErr w:type="spellEnd"/>
      <w:r w:rsidRPr="00FB27D4">
        <w:rPr>
          <w:rFonts w:cs="Calibri"/>
          <w:b/>
          <w:lang w:val="ru-RU"/>
        </w:rPr>
        <w:t xml:space="preserve"> </w:t>
      </w:r>
      <w:proofErr w:type="spellStart"/>
      <w:r w:rsidRPr="00FB27D4">
        <w:rPr>
          <w:rFonts w:cs="Calibri"/>
          <w:b/>
          <w:lang w:val="ru-RU"/>
        </w:rPr>
        <w:t>малих</w:t>
      </w:r>
      <w:proofErr w:type="spellEnd"/>
      <w:r w:rsidRPr="00FB27D4">
        <w:rPr>
          <w:rFonts w:cs="Calibri"/>
          <w:b/>
          <w:lang w:val="ru-RU"/>
        </w:rPr>
        <w:t xml:space="preserve"> </w:t>
      </w:r>
      <w:proofErr w:type="spellStart"/>
      <w:r w:rsidRPr="00FB27D4">
        <w:rPr>
          <w:rFonts w:cs="Calibri"/>
          <w:b/>
          <w:lang w:val="ru-RU"/>
        </w:rPr>
        <w:t>грантів</w:t>
      </w:r>
      <w:proofErr w:type="spellEnd"/>
      <w:r w:rsidRPr="00FB27D4">
        <w:rPr>
          <w:rFonts w:cs="Calibri"/>
          <w:b/>
          <w:lang w:val="ru-RU"/>
        </w:rPr>
        <w:t xml:space="preserve"> </w:t>
      </w:r>
      <w:r>
        <w:rPr>
          <w:rFonts w:cs="Calibri"/>
          <w:b/>
          <w:lang w:val="ru-RU"/>
        </w:rPr>
        <w:t xml:space="preserve">та </w:t>
      </w:r>
      <w:proofErr w:type="spellStart"/>
      <w:r>
        <w:rPr>
          <w:rFonts w:cs="Calibri"/>
          <w:b/>
          <w:lang w:val="ru-RU"/>
        </w:rPr>
        <w:t>відповіді</w:t>
      </w:r>
      <w:proofErr w:type="spellEnd"/>
    </w:p>
    <w:p w14:paraId="2CEC3F38" w14:textId="24B0D6DD" w:rsidR="00C202F2" w:rsidRPr="004014B3" w:rsidRDefault="00FB27D4" w:rsidP="00D022D1">
      <w:pPr>
        <w:jc w:val="center"/>
        <w:rPr>
          <w:rStyle w:val="Strong"/>
          <w:rFonts w:cs="Calibri"/>
          <w:bCs/>
          <w:color w:val="333333"/>
          <w:lang w:val="ru-UA"/>
        </w:rPr>
      </w:pPr>
      <w:r w:rsidRPr="00FB27D4">
        <w:rPr>
          <w:rStyle w:val="Strong"/>
          <w:rFonts w:cs="Calibri"/>
          <w:bCs/>
          <w:color w:val="333333"/>
          <w:lang w:val="ru-UA"/>
        </w:rPr>
        <w:t>CFP UN RPP_3_2020_18_ADM</w:t>
      </w:r>
    </w:p>
    <w:p w14:paraId="7E420801" w14:textId="61EB1A75" w:rsidR="007B7D51" w:rsidRPr="00F519D5" w:rsidRDefault="00FB27D4" w:rsidP="00D022D1">
      <w:pPr>
        <w:jc w:val="center"/>
        <w:rPr>
          <w:rStyle w:val="Strong"/>
          <w:rFonts w:cs="Calibri"/>
          <w:bCs/>
          <w:color w:val="333333"/>
        </w:rPr>
      </w:pPr>
      <w:proofErr w:type="spellStart"/>
      <w:r w:rsidRPr="00FB27D4">
        <w:rPr>
          <w:rStyle w:val="Strong"/>
          <w:rFonts w:cs="Calibri"/>
          <w:bCs/>
          <w:color w:val="333333"/>
          <w:lang w:val="ru-UA"/>
        </w:rPr>
        <w:t>Engaging</w:t>
      </w:r>
      <w:proofErr w:type="spellEnd"/>
      <w:r w:rsidRPr="00FB27D4">
        <w:rPr>
          <w:rStyle w:val="Strong"/>
          <w:rFonts w:cs="Calibri"/>
          <w:bCs/>
          <w:color w:val="333333"/>
          <w:lang w:val="ru-UA"/>
        </w:rPr>
        <w:t xml:space="preserve"> </w:t>
      </w:r>
      <w:proofErr w:type="spellStart"/>
      <w:r w:rsidRPr="00FB27D4">
        <w:rPr>
          <w:rStyle w:val="Strong"/>
          <w:rFonts w:cs="Calibri"/>
          <w:bCs/>
          <w:color w:val="333333"/>
          <w:lang w:val="ru-UA"/>
        </w:rPr>
        <w:t>an</w:t>
      </w:r>
      <w:proofErr w:type="spellEnd"/>
      <w:r w:rsidRPr="00FB27D4">
        <w:rPr>
          <w:rStyle w:val="Strong"/>
          <w:rFonts w:cs="Calibri"/>
          <w:bCs/>
          <w:color w:val="333333"/>
          <w:lang w:val="ru-UA"/>
        </w:rPr>
        <w:t xml:space="preserve"> NGO/CSO </w:t>
      </w:r>
      <w:proofErr w:type="spellStart"/>
      <w:r w:rsidRPr="00FB27D4">
        <w:rPr>
          <w:rStyle w:val="Strong"/>
          <w:rFonts w:cs="Calibri"/>
          <w:bCs/>
          <w:color w:val="333333"/>
          <w:lang w:val="ru-UA"/>
        </w:rPr>
        <w:t>as</w:t>
      </w:r>
      <w:proofErr w:type="spellEnd"/>
      <w:r w:rsidRPr="00FB27D4">
        <w:rPr>
          <w:rStyle w:val="Strong"/>
          <w:rFonts w:cs="Calibri"/>
          <w:bCs/>
          <w:color w:val="333333"/>
          <w:lang w:val="ru-UA"/>
        </w:rPr>
        <w:t xml:space="preserve"> </w:t>
      </w:r>
      <w:proofErr w:type="spellStart"/>
      <w:r w:rsidRPr="00FB27D4">
        <w:rPr>
          <w:rStyle w:val="Strong"/>
          <w:rFonts w:cs="Calibri"/>
          <w:bCs/>
          <w:color w:val="333333"/>
          <w:lang w:val="ru-UA"/>
        </w:rPr>
        <w:t>Responsible</w:t>
      </w:r>
      <w:proofErr w:type="spellEnd"/>
      <w:r w:rsidRPr="00FB27D4">
        <w:rPr>
          <w:rStyle w:val="Strong"/>
          <w:rFonts w:cs="Calibri"/>
          <w:bCs/>
          <w:color w:val="333333"/>
          <w:lang w:val="ru-UA"/>
        </w:rPr>
        <w:t xml:space="preserve"> </w:t>
      </w:r>
      <w:proofErr w:type="spellStart"/>
      <w:r w:rsidRPr="00FB27D4">
        <w:rPr>
          <w:rStyle w:val="Strong"/>
          <w:rFonts w:cs="Calibri"/>
          <w:bCs/>
          <w:color w:val="333333"/>
          <w:lang w:val="ru-UA"/>
        </w:rPr>
        <w:t>Party</w:t>
      </w:r>
      <w:proofErr w:type="spellEnd"/>
      <w:r w:rsidRPr="00FB27D4">
        <w:rPr>
          <w:rStyle w:val="Strong"/>
          <w:rFonts w:cs="Calibri"/>
          <w:bCs/>
          <w:color w:val="333333"/>
          <w:lang w:val="ru-UA"/>
        </w:rPr>
        <w:t xml:space="preserve"> </w:t>
      </w:r>
      <w:proofErr w:type="spellStart"/>
      <w:r w:rsidRPr="00FB27D4">
        <w:rPr>
          <w:rStyle w:val="Strong"/>
          <w:rFonts w:cs="Calibri"/>
          <w:bCs/>
          <w:color w:val="333333"/>
          <w:lang w:val="ru-UA"/>
        </w:rPr>
        <w:t>for</w:t>
      </w:r>
      <w:proofErr w:type="spellEnd"/>
      <w:r w:rsidRPr="00FB27D4">
        <w:rPr>
          <w:rStyle w:val="Strong"/>
          <w:rFonts w:cs="Calibri"/>
          <w:bCs/>
          <w:color w:val="333333"/>
          <w:lang w:val="ru-UA"/>
        </w:rPr>
        <w:t xml:space="preserve"> </w:t>
      </w:r>
      <w:proofErr w:type="spellStart"/>
      <w:r w:rsidRPr="00FB27D4">
        <w:rPr>
          <w:rStyle w:val="Strong"/>
          <w:rFonts w:cs="Calibri"/>
          <w:bCs/>
          <w:color w:val="333333"/>
          <w:lang w:val="ru-UA"/>
        </w:rPr>
        <w:t>managing</w:t>
      </w:r>
      <w:proofErr w:type="spellEnd"/>
      <w:r w:rsidRPr="00FB27D4">
        <w:rPr>
          <w:rStyle w:val="Strong"/>
          <w:rFonts w:cs="Calibri"/>
          <w:bCs/>
          <w:color w:val="333333"/>
          <w:lang w:val="ru-UA"/>
        </w:rPr>
        <w:t xml:space="preserve"> </w:t>
      </w:r>
      <w:proofErr w:type="spellStart"/>
      <w:r w:rsidRPr="00FB27D4">
        <w:rPr>
          <w:rStyle w:val="Strong"/>
          <w:rFonts w:cs="Calibri"/>
          <w:bCs/>
          <w:color w:val="333333"/>
          <w:lang w:val="ru-UA"/>
        </w:rPr>
        <w:t>small</w:t>
      </w:r>
      <w:proofErr w:type="spellEnd"/>
      <w:r w:rsidRPr="00FB27D4">
        <w:rPr>
          <w:rStyle w:val="Strong"/>
          <w:rFonts w:cs="Calibri"/>
          <w:bCs/>
          <w:color w:val="333333"/>
          <w:lang w:val="ru-UA"/>
        </w:rPr>
        <w:t xml:space="preserve"> </w:t>
      </w:r>
      <w:proofErr w:type="spellStart"/>
      <w:r w:rsidRPr="00FB27D4">
        <w:rPr>
          <w:rStyle w:val="Strong"/>
          <w:rFonts w:cs="Calibri"/>
          <w:bCs/>
          <w:color w:val="333333"/>
          <w:lang w:val="ru-UA"/>
        </w:rPr>
        <w:t>grants</w:t>
      </w:r>
      <w:proofErr w:type="spellEnd"/>
      <w:r w:rsidRPr="00FB27D4">
        <w:rPr>
          <w:rStyle w:val="Strong"/>
          <w:rFonts w:cs="Calibri"/>
          <w:bCs/>
          <w:color w:val="333333"/>
          <w:lang w:val="ru-UA"/>
        </w:rPr>
        <w:t xml:space="preserve"> </w:t>
      </w:r>
      <w:proofErr w:type="spellStart"/>
      <w:r w:rsidRPr="00FB27D4">
        <w:rPr>
          <w:rStyle w:val="Strong"/>
          <w:rFonts w:cs="Calibri"/>
          <w:bCs/>
          <w:color w:val="333333"/>
          <w:lang w:val="ru-UA"/>
        </w:rPr>
        <w:t>programme</w:t>
      </w:r>
      <w:proofErr w:type="spellEnd"/>
      <w:r w:rsidRPr="00FB27D4">
        <w:rPr>
          <w:rStyle w:val="Strong"/>
          <w:rFonts w:cs="Calibri"/>
          <w:bCs/>
          <w:color w:val="333333"/>
          <w:lang w:val="ru-UA"/>
        </w:rPr>
        <w:t xml:space="preserve"> </w:t>
      </w:r>
      <w:proofErr w:type="spellStart"/>
      <w:r w:rsidRPr="00FB27D4">
        <w:rPr>
          <w:rStyle w:val="Strong"/>
          <w:rFonts w:cs="Calibri"/>
          <w:bCs/>
          <w:color w:val="333333"/>
          <w:lang w:val="ru-UA"/>
        </w:rPr>
        <w:t>on</w:t>
      </w:r>
      <w:proofErr w:type="spellEnd"/>
      <w:r w:rsidRPr="00FB27D4">
        <w:rPr>
          <w:rStyle w:val="Strong"/>
          <w:rFonts w:cs="Calibri"/>
          <w:bCs/>
          <w:color w:val="333333"/>
          <w:lang w:val="ru-UA"/>
        </w:rPr>
        <w:t xml:space="preserve"> </w:t>
      </w:r>
      <w:proofErr w:type="spellStart"/>
      <w:r w:rsidRPr="00FB27D4">
        <w:rPr>
          <w:rStyle w:val="Strong"/>
          <w:rFonts w:cs="Calibri"/>
          <w:bCs/>
          <w:color w:val="333333"/>
          <w:lang w:val="ru-UA"/>
        </w:rPr>
        <w:t>the</w:t>
      </w:r>
      <w:proofErr w:type="spellEnd"/>
      <w:r w:rsidRPr="00FB27D4">
        <w:rPr>
          <w:rStyle w:val="Strong"/>
          <w:rFonts w:cs="Calibri"/>
          <w:bCs/>
          <w:color w:val="333333"/>
          <w:lang w:val="ru-UA"/>
        </w:rPr>
        <w:t xml:space="preserve"> </w:t>
      </w:r>
      <w:proofErr w:type="spellStart"/>
      <w:r w:rsidRPr="00FB27D4">
        <w:rPr>
          <w:rStyle w:val="Strong"/>
          <w:rFonts w:cs="Calibri"/>
          <w:bCs/>
          <w:color w:val="333333"/>
          <w:lang w:val="ru-UA"/>
        </w:rPr>
        <w:t>issues</w:t>
      </w:r>
      <w:proofErr w:type="spellEnd"/>
      <w:r w:rsidRPr="00FB27D4">
        <w:rPr>
          <w:rStyle w:val="Strong"/>
          <w:rFonts w:cs="Calibri"/>
          <w:bCs/>
          <w:color w:val="333333"/>
          <w:lang w:val="ru-UA"/>
        </w:rPr>
        <w:t xml:space="preserve"> </w:t>
      </w:r>
      <w:proofErr w:type="spellStart"/>
      <w:r w:rsidRPr="00FB27D4">
        <w:rPr>
          <w:rStyle w:val="Strong"/>
          <w:rFonts w:cs="Calibri"/>
          <w:bCs/>
          <w:color w:val="333333"/>
          <w:lang w:val="ru-UA"/>
        </w:rPr>
        <w:t>of</w:t>
      </w:r>
      <w:proofErr w:type="spellEnd"/>
      <w:r w:rsidRPr="00FB27D4">
        <w:rPr>
          <w:rStyle w:val="Strong"/>
          <w:rFonts w:cs="Calibri"/>
          <w:bCs/>
          <w:color w:val="333333"/>
          <w:lang w:val="ru-UA"/>
        </w:rPr>
        <w:t xml:space="preserve"> </w:t>
      </w:r>
      <w:proofErr w:type="spellStart"/>
      <w:r w:rsidRPr="00FB27D4">
        <w:rPr>
          <w:rStyle w:val="Strong"/>
          <w:rFonts w:cs="Calibri"/>
          <w:bCs/>
          <w:color w:val="333333"/>
          <w:lang w:val="ru-UA"/>
        </w:rPr>
        <w:t>community</w:t>
      </w:r>
      <w:proofErr w:type="spellEnd"/>
      <w:r w:rsidRPr="00FB27D4">
        <w:rPr>
          <w:rStyle w:val="Strong"/>
          <w:rFonts w:cs="Calibri"/>
          <w:bCs/>
          <w:color w:val="333333"/>
          <w:lang w:val="ru-UA"/>
        </w:rPr>
        <w:t xml:space="preserve"> </w:t>
      </w:r>
      <w:proofErr w:type="spellStart"/>
      <w:r w:rsidRPr="00FB27D4">
        <w:rPr>
          <w:rStyle w:val="Strong"/>
          <w:rFonts w:cs="Calibri"/>
          <w:bCs/>
          <w:color w:val="333333"/>
          <w:lang w:val="ru-UA"/>
        </w:rPr>
        <w:t>security</w:t>
      </w:r>
      <w:proofErr w:type="spellEnd"/>
      <w:r w:rsidRPr="00FB27D4">
        <w:rPr>
          <w:rStyle w:val="Strong"/>
          <w:rFonts w:cs="Calibri"/>
          <w:bCs/>
          <w:color w:val="333333"/>
          <w:lang w:val="ru-UA"/>
        </w:rPr>
        <w:t xml:space="preserve">, </w:t>
      </w:r>
      <w:proofErr w:type="spellStart"/>
      <w:r w:rsidRPr="00FB27D4">
        <w:rPr>
          <w:rStyle w:val="Strong"/>
          <w:rFonts w:cs="Calibri"/>
          <w:bCs/>
          <w:color w:val="333333"/>
          <w:lang w:val="ru-UA"/>
        </w:rPr>
        <w:t>social</w:t>
      </w:r>
      <w:proofErr w:type="spellEnd"/>
      <w:r w:rsidRPr="00FB27D4">
        <w:rPr>
          <w:rStyle w:val="Strong"/>
          <w:rFonts w:cs="Calibri"/>
          <w:bCs/>
          <w:color w:val="333333"/>
          <w:lang w:val="ru-UA"/>
        </w:rPr>
        <w:t xml:space="preserve"> </w:t>
      </w:r>
      <w:proofErr w:type="spellStart"/>
      <w:r w:rsidRPr="00FB27D4">
        <w:rPr>
          <w:rStyle w:val="Strong"/>
          <w:rFonts w:cs="Calibri"/>
          <w:bCs/>
          <w:color w:val="333333"/>
          <w:lang w:val="ru-UA"/>
        </w:rPr>
        <w:t>cohesion</w:t>
      </w:r>
      <w:proofErr w:type="spellEnd"/>
      <w:r w:rsidRPr="00FB27D4">
        <w:rPr>
          <w:rStyle w:val="Strong"/>
          <w:rFonts w:cs="Calibri"/>
          <w:bCs/>
          <w:color w:val="333333"/>
          <w:lang w:val="ru-UA"/>
        </w:rPr>
        <w:t xml:space="preserve">, </w:t>
      </w:r>
      <w:proofErr w:type="spellStart"/>
      <w:r w:rsidRPr="00FB27D4">
        <w:rPr>
          <w:rStyle w:val="Strong"/>
          <w:rFonts w:cs="Calibri"/>
          <w:bCs/>
          <w:color w:val="333333"/>
          <w:lang w:val="ru-UA"/>
        </w:rPr>
        <w:t>access</w:t>
      </w:r>
      <w:proofErr w:type="spellEnd"/>
      <w:r w:rsidRPr="00FB27D4">
        <w:rPr>
          <w:rStyle w:val="Strong"/>
          <w:rFonts w:cs="Calibri"/>
          <w:bCs/>
          <w:color w:val="333333"/>
          <w:lang w:val="ru-UA"/>
        </w:rPr>
        <w:t xml:space="preserve"> </w:t>
      </w:r>
      <w:proofErr w:type="spellStart"/>
      <w:r w:rsidRPr="00FB27D4">
        <w:rPr>
          <w:rStyle w:val="Strong"/>
          <w:rFonts w:cs="Calibri"/>
          <w:bCs/>
          <w:color w:val="333333"/>
          <w:lang w:val="ru-UA"/>
        </w:rPr>
        <w:t>to</w:t>
      </w:r>
      <w:proofErr w:type="spellEnd"/>
      <w:r w:rsidRPr="00FB27D4">
        <w:rPr>
          <w:rStyle w:val="Strong"/>
          <w:rFonts w:cs="Calibri"/>
          <w:bCs/>
          <w:color w:val="333333"/>
          <w:lang w:val="ru-UA"/>
        </w:rPr>
        <w:t xml:space="preserve"> </w:t>
      </w:r>
      <w:proofErr w:type="spellStart"/>
      <w:r w:rsidRPr="00FB27D4">
        <w:rPr>
          <w:rStyle w:val="Strong"/>
          <w:rFonts w:cs="Calibri"/>
          <w:bCs/>
          <w:color w:val="333333"/>
          <w:lang w:val="ru-UA"/>
        </w:rPr>
        <w:t>justice</w:t>
      </w:r>
      <w:proofErr w:type="spellEnd"/>
      <w:r w:rsidRPr="00FB27D4">
        <w:rPr>
          <w:rStyle w:val="Strong"/>
          <w:rFonts w:cs="Calibri"/>
          <w:bCs/>
          <w:color w:val="333333"/>
          <w:lang w:val="ru-UA"/>
        </w:rPr>
        <w:t xml:space="preserve">, </w:t>
      </w:r>
      <w:proofErr w:type="spellStart"/>
      <w:r w:rsidRPr="00FB27D4">
        <w:rPr>
          <w:rStyle w:val="Strong"/>
          <w:rFonts w:cs="Calibri"/>
          <w:bCs/>
          <w:color w:val="333333"/>
          <w:lang w:val="ru-UA"/>
        </w:rPr>
        <w:t>community</w:t>
      </w:r>
      <w:proofErr w:type="spellEnd"/>
      <w:r w:rsidRPr="00FB27D4">
        <w:rPr>
          <w:rStyle w:val="Strong"/>
          <w:rFonts w:cs="Calibri"/>
          <w:bCs/>
          <w:color w:val="333333"/>
          <w:lang w:val="ru-UA"/>
        </w:rPr>
        <w:t xml:space="preserve"> </w:t>
      </w:r>
      <w:proofErr w:type="spellStart"/>
      <w:r w:rsidRPr="00FB27D4">
        <w:rPr>
          <w:rStyle w:val="Strong"/>
          <w:rFonts w:cs="Calibri"/>
          <w:bCs/>
          <w:color w:val="333333"/>
          <w:lang w:val="ru-UA"/>
        </w:rPr>
        <w:t>policing</w:t>
      </w:r>
      <w:proofErr w:type="spellEnd"/>
      <w:r w:rsidRPr="00FB27D4">
        <w:rPr>
          <w:rStyle w:val="Strong"/>
          <w:rFonts w:cs="Calibri"/>
          <w:bCs/>
          <w:color w:val="333333"/>
          <w:lang w:val="ru-UA"/>
        </w:rPr>
        <w:t xml:space="preserve">, </w:t>
      </w:r>
      <w:proofErr w:type="spellStart"/>
      <w:r w:rsidRPr="00FB27D4">
        <w:rPr>
          <w:rStyle w:val="Strong"/>
          <w:rFonts w:cs="Calibri"/>
          <w:bCs/>
          <w:color w:val="333333"/>
          <w:lang w:val="ru-UA"/>
        </w:rPr>
        <w:t>advocacy</w:t>
      </w:r>
      <w:proofErr w:type="spellEnd"/>
      <w:r w:rsidRPr="00FB27D4">
        <w:rPr>
          <w:rStyle w:val="Strong"/>
          <w:rFonts w:cs="Calibri"/>
          <w:bCs/>
          <w:color w:val="333333"/>
          <w:lang w:val="ru-UA"/>
        </w:rPr>
        <w:t xml:space="preserve"> </w:t>
      </w:r>
      <w:proofErr w:type="spellStart"/>
      <w:r w:rsidRPr="00FB27D4">
        <w:rPr>
          <w:rStyle w:val="Strong"/>
          <w:rFonts w:cs="Calibri"/>
          <w:bCs/>
          <w:color w:val="333333"/>
          <w:lang w:val="ru-UA"/>
        </w:rPr>
        <w:t>and</w:t>
      </w:r>
      <w:proofErr w:type="spellEnd"/>
      <w:r w:rsidRPr="00FB27D4">
        <w:rPr>
          <w:rStyle w:val="Strong"/>
          <w:rFonts w:cs="Calibri"/>
          <w:bCs/>
          <w:color w:val="333333"/>
          <w:lang w:val="ru-UA"/>
        </w:rPr>
        <w:t xml:space="preserve"> </w:t>
      </w:r>
      <w:proofErr w:type="spellStart"/>
      <w:r w:rsidRPr="00FB27D4">
        <w:rPr>
          <w:rStyle w:val="Strong"/>
          <w:rFonts w:cs="Calibri"/>
          <w:bCs/>
          <w:color w:val="333333"/>
          <w:lang w:val="ru-UA"/>
        </w:rPr>
        <w:t>gender</w:t>
      </w:r>
      <w:proofErr w:type="spellEnd"/>
      <w:r w:rsidRPr="00FB27D4">
        <w:rPr>
          <w:rStyle w:val="Strong"/>
          <w:rFonts w:cs="Calibri"/>
          <w:bCs/>
          <w:color w:val="333333"/>
          <w:lang w:val="ru-UA"/>
        </w:rPr>
        <w:t xml:space="preserve"> </w:t>
      </w:r>
      <w:proofErr w:type="spellStart"/>
      <w:r w:rsidRPr="00FB27D4">
        <w:rPr>
          <w:rStyle w:val="Strong"/>
          <w:rFonts w:cs="Calibri"/>
          <w:bCs/>
          <w:color w:val="333333"/>
          <w:lang w:val="ru-UA"/>
        </w:rPr>
        <w:t>equality</w:t>
      </w:r>
      <w:proofErr w:type="spellEnd"/>
      <w:r w:rsidRPr="00FB27D4">
        <w:rPr>
          <w:rStyle w:val="Strong"/>
          <w:rFonts w:cs="Calibri"/>
          <w:bCs/>
          <w:color w:val="333333"/>
          <w:lang w:val="ru-UA"/>
        </w:rPr>
        <w:t xml:space="preserve"> </w:t>
      </w:r>
      <w:proofErr w:type="spellStart"/>
      <w:r w:rsidRPr="00FB27D4">
        <w:rPr>
          <w:rStyle w:val="Strong"/>
          <w:rFonts w:cs="Calibri"/>
          <w:bCs/>
          <w:color w:val="333333"/>
          <w:lang w:val="ru-UA"/>
        </w:rPr>
        <w:t>in</w:t>
      </w:r>
      <w:proofErr w:type="spellEnd"/>
      <w:r w:rsidRPr="00FB27D4">
        <w:rPr>
          <w:rStyle w:val="Strong"/>
          <w:rFonts w:cs="Calibri"/>
          <w:bCs/>
          <w:color w:val="333333"/>
          <w:lang w:val="ru-UA"/>
        </w:rPr>
        <w:t xml:space="preserve"> </w:t>
      </w:r>
      <w:proofErr w:type="spellStart"/>
      <w:r w:rsidRPr="00FB27D4">
        <w:rPr>
          <w:rStyle w:val="Strong"/>
          <w:rFonts w:cs="Calibri"/>
          <w:bCs/>
          <w:color w:val="333333"/>
          <w:lang w:val="ru-UA"/>
        </w:rPr>
        <w:t>the</w:t>
      </w:r>
      <w:proofErr w:type="spellEnd"/>
      <w:r w:rsidRPr="00FB27D4">
        <w:rPr>
          <w:rStyle w:val="Strong"/>
          <w:rFonts w:cs="Calibri"/>
          <w:bCs/>
          <w:color w:val="333333"/>
          <w:lang w:val="ru-UA"/>
        </w:rPr>
        <w:t xml:space="preserve"> </w:t>
      </w:r>
      <w:proofErr w:type="spellStart"/>
      <w:r w:rsidRPr="00FB27D4">
        <w:rPr>
          <w:rStyle w:val="Strong"/>
          <w:rFonts w:cs="Calibri"/>
          <w:bCs/>
          <w:color w:val="333333"/>
          <w:lang w:val="ru-UA"/>
        </w:rPr>
        <w:t>target</w:t>
      </w:r>
      <w:proofErr w:type="spellEnd"/>
      <w:r w:rsidRPr="00FB27D4">
        <w:rPr>
          <w:rStyle w:val="Strong"/>
          <w:rFonts w:cs="Calibri"/>
          <w:bCs/>
          <w:color w:val="333333"/>
          <w:lang w:val="ru-UA"/>
        </w:rPr>
        <w:t xml:space="preserve"> </w:t>
      </w:r>
      <w:proofErr w:type="spellStart"/>
      <w:r w:rsidRPr="00FB27D4">
        <w:rPr>
          <w:rStyle w:val="Strong"/>
          <w:rFonts w:cs="Calibri"/>
          <w:bCs/>
          <w:color w:val="333333"/>
          <w:lang w:val="ru-UA"/>
        </w:rPr>
        <w:t>hromadas</w:t>
      </w:r>
      <w:proofErr w:type="spellEnd"/>
      <w:r w:rsidRPr="00FB27D4">
        <w:rPr>
          <w:rStyle w:val="Strong"/>
          <w:rFonts w:cs="Calibri"/>
          <w:bCs/>
          <w:color w:val="333333"/>
          <w:lang w:val="ru-UA"/>
        </w:rPr>
        <w:t xml:space="preserve"> </w:t>
      </w:r>
      <w:proofErr w:type="spellStart"/>
      <w:r w:rsidRPr="00FB27D4">
        <w:rPr>
          <w:rStyle w:val="Strong"/>
          <w:rFonts w:cs="Calibri"/>
          <w:bCs/>
          <w:color w:val="333333"/>
          <w:lang w:val="ru-UA"/>
        </w:rPr>
        <w:t>of</w:t>
      </w:r>
      <w:proofErr w:type="spellEnd"/>
      <w:r w:rsidRPr="00FB27D4">
        <w:rPr>
          <w:rStyle w:val="Strong"/>
          <w:rFonts w:cs="Calibri"/>
          <w:bCs/>
          <w:color w:val="333333"/>
          <w:lang w:val="ru-UA"/>
        </w:rPr>
        <w:t xml:space="preserve"> </w:t>
      </w:r>
      <w:proofErr w:type="spellStart"/>
      <w:r w:rsidRPr="00FB27D4">
        <w:rPr>
          <w:rStyle w:val="Strong"/>
          <w:rFonts w:cs="Calibri"/>
          <w:bCs/>
          <w:color w:val="333333"/>
          <w:lang w:val="ru-UA"/>
        </w:rPr>
        <w:t>Donetsk</w:t>
      </w:r>
      <w:proofErr w:type="spellEnd"/>
      <w:r w:rsidRPr="00FB27D4">
        <w:rPr>
          <w:rStyle w:val="Strong"/>
          <w:rFonts w:cs="Calibri"/>
          <w:bCs/>
          <w:color w:val="333333"/>
          <w:lang w:val="ru-UA"/>
        </w:rPr>
        <w:t xml:space="preserve">, </w:t>
      </w:r>
      <w:proofErr w:type="spellStart"/>
      <w:r w:rsidRPr="00FB27D4">
        <w:rPr>
          <w:rStyle w:val="Strong"/>
          <w:rFonts w:cs="Calibri"/>
          <w:bCs/>
          <w:color w:val="333333"/>
          <w:lang w:val="ru-UA"/>
        </w:rPr>
        <w:t>Dnipropetrovsk</w:t>
      </w:r>
      <w:proofErr w:type="spellEnd"/>
      <w:r w:rsidRPr="00FB27D4">
        <w:rPr>
          <w:rStyle w:val="Strong"/>
          <w:rFonts w:cs="Calibri"/>
          <w:bCs/>
          <w:color w:val="333333"/>
          <w:lang w:val="ru-UA"/>
        </w:rPr>
        <w:t xml:space="preserve">, </w:t>
      </w:r>
      <w:proofErr w:type="spellStart"/>
      <w:r w:rsidRPr="00FB27D4">
        <w:rPr>
          <w:rStyle w:val="Strong"/>
          <w:rFonts w:cs="Calibri"/>
          <w:bCs/>
          <w:color w:val="333333"/>
          <w:lang w:val="ru-UA"/>
        </w:rPr>
        <w:t>Luhansk</w:t>
      </w:r>
      <w:proofErr w:type="spellEnd"/>
      <w:r w:rsidRPr="00FB27D4">
        <w:rPr>
          <w:rStyle w:val="Strong"/>
          <w:rFonts w:cs="Calibri"/>
          <w:bCs/>
          <w:color w:val="333333"/>
          <w:lang w:val="ru-UA"/>
        </w:rPr>
        <w:t xml:space="preserve">, </w:t>
      </w:r>
      <w:proofErr w:type="spellStart"/>
      <w:r w:rsidRPr="00FB27D4">
        <w:rPr>
          <w:rStyle w:val="Strong"/>
          <w:rFonts w:cs="Calibri"/>
          <w:bCs/>
          <w:color w:val="333333"/>
          <w:lang w:val="ru-UA"/>
        </w:rPr>
        <w:t>Zaporizzhia</w:t>
      </w:r>
      <w:proofErr w:type="spellEnd"/>
      <w:r w:rsidRPr="00FB27D4">
        <w:rPr>
          <w:rStyle w:val="Strong"/>
          <w:rFonts w:cs="Calibri"/>
          <w:bCs/>
          <w:color w:val="333333"/>
          <w:lang w:val="ru-UA"/>
        </w:rPr>
        <w:t xml:space="preserve"> </w:t>
      </w:r>
      <w:proofErr w:type="spellStart"/>
      <w:r w:rsidRPr="00FB27D4">
        <w:rPr>
          <w:rStyle w:val="Strong"/>
          <w:rFonts w:cs="Calibri"/>
          <w:bCs/>
          <w:color w:val="333333"/>
          <w:lang w:val="ru-UA"/>
        </w:rPr>
        <w:t>and</w:t>
      </w:r>
      <w:proofErr w:type="spellEnd"/>
      <w:r w:rsidRPr="00FB27D4">
        <w:rPr>
          <w:rStyle w:val="Strong"/>
          <w:rFonts w:cs="Calibri"/>
          <w:bCs/>
          <w:color w:val="333333"/>
          <w:lang w:val="ru-UA"/>
        </w:rPr>
        <w:t xml:space="preserve"> </w:t>
      </w:r>
      <w:proofErr w:type="spellStart"/>
      <w:r w:rsidRPr="00FB27D4">
        <w:rPr>
          <w:rStyle w:val="Strong"/>
          <w:rFonts w:cs="Calibri"/>
          <w:bCs/>
          <w:color w:val="333333"/>
          <w:lang w:val="ru-UA"/>
        </w:rPr>
        <w:t>Zhytomyr</w:t>
      </w:r>
      <w:proofErr w:type="spellEnd"/>
      <w:r w:rsidRPr="00FB27D4">
        <w:rPr>
          <w:rStyle w:val="Strong"/>
          <w:rFonts w:cs="Calibri"/>
          <w:bCs/>
          <w:color w:val="333333"/>
          <w:lang w:val="ru-UA"/>
        </w:rPr>
        <w:t xml:space="preserve"> </w:t>
      </w:r>
      <w:proofErr w:type="spellStart"/>
      <w:r w:rsidRPr="00FB27D4">
        <w:rPr>
          <w:rStyle w:val="Strong"/>
          <w:rFonts w:cs="Calibri"/>
          <w:bCs/>
          <w:color w:val="333333"/>
          <w:lang w:val="ru-UA"/>
        </w:rPr>
        <w:t>oblasts</w:t>
      </w:r>
      <w:proofErr w:type="spellEnd"/>
    </w:p>
    <w:tbl>
      <w:tblPr>
        <w:tblW w:w="9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4501"/>
        <w:gridCol w:w="4553"/>
      </w:tblGrid>
      <w:tr w:rsidR="008356D3" w:rsidRPr="00F519D5" w14:paraId="1E7D76DF" w14:textId="77777777" w:rsidTr="003A0D6E">
        <w:tc>
          <w:tcPr>
            <w:tcW w:w="710" w:type="dxa"/>
          </w:tcPr>
          <w:p w14:paraId="463A0533" w14:textId="77777777" w:rsidR="008356D3" w:rsidRPr="00F519D5" w:rsidRDefault="008356D3" w:rsidP="00D022D1">
            <w:pPr>
              <w:spacing w:after="0" w:line="240" w:lineRule="auto"/>
              <w:ind w:left="284"/>
              <w:jc w:val="both"/>
              <w:rPr>
                <w:rFonts w:cs="Calibri"/>
                <w:b/>
                <w:sz w:val="20"/>
                <w:szCs w:val="20"/>
                <w:lang w:val="ru-UA"/>
              </w:rPr>
            </w:pPr>
            <w:r w:rsidRPr="00F519D5">
              <w:rPr>
                <w:rFonts w:cs="Calibri"/>
                <w:b/>
                <w:sz w:val="20"/>
                <w:szCs w:val="20"/>
                <w:lang w:val="ru-UA"/>
              </w:rPr>
              <w:t>№</w:t>
            </w:r>
          </w:p>
        </w:tc>
        <w:tc>
          <w:tcPr>
            <w:tcW w:w="4501" w:type="dxa"/>
          </w:tcPr>
          <w:p w14:paraId="3AE652AA" w14:textId="5686E524" w:rsidR="008356D3" w:rsidRPr="00F519D5" w:rsidRDefault="00FB27D4" w:rsidP="00D022D1">
            <w:pPr>
              <w:spacing w:after="0" w:line="240" w:lineRule="auto"/>
              <w:jc w:val="both"/>
              <w:rPr>
                <w:rFonts w:cs="Calibri"/>
                <w:b/>
                <w:sz w:val="20"/>
                <w:szCs w:val="20"/>
                <w:lang w:val="ru-RU"/>
              </w:rPr>
            </w:pPr>
            <w:proofErr w:type="spellStart"/>
            <w:r>
              <w:rPr>
                <w:rFonts w:cs="Calibri"/>
                <w:b/>
                <w:sz w:val="20"/>
                <w:szCs w:val="20"/>
                <w:lang w:val="ru-RU"/>
              </w:rPr>
              <w:t>Питяння</w:t>
            </w:r>
            <w:proofErr w:type="spellEnd"/>
          </w:p>
        </w:tc>
        <w:tc>
          <w:tcPr>
            <w:tcW w:w="4553" w:type="dxa"/>
          </w:tcPr>
          <w:p w14:paraId="30FE1522" w14:textId="65FA6E33" w:rsidR="008356D3" w:rsidRPr="00F519D5" w:rsidRDefault="00FB27D4" w:rsidP="00D022D1">
            <w:pPr>
              <w:spacing w:after="0" w:line="240" w:lineRule="auto"/>
              <w:jc w:val="both"/>
              <w:rPr>
                <w:rFonts w:cs="Calibri"/>
                <w:b/>
                <w:sz w:val="20"/>
                <w:szCs w:val="20"/>
                <w:lang w:val="ru-RU"/>
              </w:rPr>
            </w:pPr>
            <w:proofErr w:type="spellStart"/>
            <w:r>
              <w:rPr>
                <w:rFonts w:cs="Calibri"/>
                <w:b/>
                <w:sz w:val="20"/>
                <w:szCs w:val="20"/>
                <w:lang w:val="ru-RU"/>
              </w:rPr>
              <w:t>Відповідь</w:t>
            </w:r>
            <w:proofErr w:type="spellEnd"/>
          </w:p>
        </w:tc>
      </w:tr>
      <w:tr w:rsidR="00B062E5" w:rsidRPr="00F519D5" w14:paraId="58342F5F" w14:textId="77777777" w:rsidTr="003A0D6E">
        <w:tc>
          <w:tcPr>
            <w:tcW w:w="710" w:type="dxa"/>
          </w:tcPr>
          <w:p w14:paraId="4E46015B" w14:textId="77777777" w:rsidR="00B062E5" w:rsidRPr="00F519D5" w:rsidRDefault="00B062E5" w:rsidP="00B062E5">
            <w:pPr>
              <w:numPr>
                <w:ilvl w:val="0"/>
                <w:numId w:val="1"/>
              </w:numPr>
              <w:spacing w:after="0" w:line="240" w:lineRule="auto"/>
              <w:ind w:left="284"/>
              <w:jc w:val="both"/>
              <w:rPr>
                <w:rFonts w:cs="Calibri"/>
                <w:b/>
                <w:sz w:val="20"/>
                <w:szCs w:val="20"/>
                <w:lang w:val="ru-RU"/>
              </w:rPr>
            </w:pPr>
          </w:p>
        </w:tc>
        <w:tc>
          <w:tcPr>
            <w:tcW w:w="4501" w:type="dxa"/>
          </w:tcPr>
          <w:p w14:paraId="6EAEF0AC" w14:textId="27D172CD" w:rsidR="00B062E5" w:rsidRPr="00F519D5" w:rsidRDefault="00FB27D4" w:rsidP="00B062E5">
            <w:pPr>
              <w:pStyle w:val="xmsonormal"/>
              <w:rPr>
                <w:lang w:val="ru-RU"/>
              </w:rPr>
            </w:pPr>
            <w:r w:rsidRPr="00FB27D4">
              <w:rPr>
                <w:sz w:val="20"/>
                <w:szCs w:val="20"/>
                <w:lang w:val="ru-UA"/>
              </w:rPr>
              <w:t xml:space="preserve">Наша </w:t>
            </w:r>
            <w:proofErr w:type="spellStart"/>
            <w:r w:rsidRPr="00FB27D4">
              <w:rPr>
                <w:sz w:val="20"/>
                <w:szCs w:val="20"/>
                <w:lang w:val="ru-UA"/>
              </w:rPr>
              <w:t>організація</w:t>
            </w:r>
            <w:proofErr w:type="spellEnd"/>
            <w:r w:rsidRPr="00FB27D4">
              <w:rPr>
                <w:sz w:val="20"/>
                <w:szCs w:val="20"/>
                <w:lang w:val="ru-UA"/>
              </w:rPr>
              <w:t xml:space="preserve"> подала заявку на конкурс з </w:t>
            </w:r>
            <w:proofErr w:type="spellStart"/>
            <w:r w:rsidRPr="00FB27D4">
              <w:rPr>
                <w:sz w:val="20"/>
                <w:szCs w:val="20"/>
                <w:lang w:val="ru-UA"/>
              </w:rPr>
              <w:t>адміністрування</w:t>
            </w:r>
            <w:proofErr w:type="spellEnd"/>
            <w:r w:rsidRPr="00FB27D4">
              <w:rPr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sz w:val="20"/>
                <w:szCs w:val="20"/>
                <w:lang w:val="ru-UA"/>
              </w:rPr>
              <w:t>малих</w:t>
            </w:r>
            <w:proofErr w:type="spellEnd"/>
            <w:r w:rsidRPr="00FB27D4">
              <w:rPr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sz w:val="20"/>
                <w:szCs w:val="20"/>
                <w:lang w:val="ru-UA"/>
              </w:rPr>
              <w:t>грантів</w:t>
            </w:r>
            <w:proofErr w:type="spellEnd"/>
            <w:r w:rsidRPr="00FB27D4">
              <w:rPr>
                <w:sz w:val="20"/>
                <w:szCs w:val="20"/>
                <w:lang w:val="ru-UA"/>
              </w:rPr>
              <w:t xml:space="preserve"> ПРООН, </w:t>
            </w:r>
            <w:proofErr w:type="spellStart"/>
            <w:r w:rsidRPr="00FB27D4">
              <w:rPr>
                <w:sz w:val="20"/>
                <w:szCs w:val="20"/>
                <w:lang w:val="ru-UA"/>
              </w:rPr>
              <w:t>що</w:t>
            </w:r>
            <w:proofErr w:type="spellEnd"/>
            <w:r w:rsidRPr="00FB27D4">
              <w:rPr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sz w:val="20"/>
                <w:szCs w:val="20"/>
                <w:lang w:val="ru-UA"/>
              </w:rPr>
              <w:t>завершився</w:t>
            </w:r>
            <w:proofErr w:type="spellEnd"/>
            <w:r w:rsidRPr="00FB27D4">
              <w:rPr>
                <w:sz w:val="20"/>
                <w:szCs w:val="20"/>
                <w:lang w:val="ru-UA"/>
              </w:rPr>
              <w:t xml:space="preserve"> 15 лютого. </w:t>
            </w:r>
            <w:proofErr w:type="spellStart"/>
            <w:r w:rsidRPr="00FB27D4">
              <w:rPr>
                <w:sz w:val="20"/>
                <w:szCs w:val="20"/>
                <w:lang w:val="ru-UA"/>
              </w:rPr>
              <w:t>Наразі</w:t>
            </w:r>
            <w:proofErr w:type="spellEnd"/>
            <w:r w:rsidRPr="00FB27D4">
              <w:rPr>
                <w:sz w:val="20"/>
                <w:szCs w:val="20"/>
                <w:lang w:val="ru-UA"/>
              </w:rPr>
              <w:t xml:space="preserve"> є </w:t>
            </w:r>
            <w:proofErr w:type="spellStart"/>
            <w:r w:rsidRPr="00FB27D4">
              <w:rPr>
                <w:sz w:val="20"/>
                <w:szCs w:val="20"/>
                <w:lang w:val="ru-UA"/>
              </w:rPr>
              <w:t>новий</w:t>
            </w:r>
            <w:proofErr w:type="spellEnd"/>
            <w:r w:rsidRPr="00FB27D4">
              <w:rPr>
                <w:sz w:val="20"/>
                <w:szCs w:val="20"/>
                <w:lang w:val="ru-UA"/>
              </w:rPr>
              <w:t xml:space="preserve"> конкурс </w:t>
            </w:r>
            <w:proofErr w:type="spellStart"/>
            <w:r w:rsidRPr="00FB27D4">
              <w:rPr>
                <w:sz w:val="20"/>
                <w:szCs w:val="20"/>
                <w:lang w:val="ru-UA"/>
              </w:rPr>
              <w:t>від</w:t>
            </w:r>
            <w:proofErr w:type="spellEnd"/>
            <w:r w:rsidRPr="00FB27D4">
              <w:rPr>
                <w:sz w:val="20"/>
                <w:szCs w:val="20"/>
                <w:lang w:val="ru-UA"/>
              </w:rPr>
              <w:t xml:space="preserve"> ПРООН направлений на </w:t>
            </w:r>
            <w:proofErr w:type="spellStart"/>
            <w:r w:rsidRPr="00FB27D4">
              <w:rPr>
                <w:sz w:val="20"/>
                <w:szCs w:val="20"/>
                <w:lang w:val="ru-UA"/>
              </w:rPr>
              <w:t>управління</w:t>
            </w:r>
            <w:proofErr w:type="spellEnd"/>
            <w:r w:rsidRPr="00FB27D4">
              <w:rPr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sz w:val="20"/>
                <w:szCs w:val="20"/>
                <w:lang w:val="ru-UA"/>
              </w:rPr>
              <w:t>малих</w:t>
            </w:r>
            <w:proofErr w:type="spellEnd"/>
            <w:r w:rsidRPr="00FB27D4">
              <w:rPr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sz w:val="20"/>
                <w:szCs w:val="20"/>
                <w:lang w:val="ru-UA"/>
              </w:rPr>
              <w:t>грантів</w:t>
            </w:r>
            <w:proofErr w:type="spellEnd"/>
            <w:r w:rsidRPr="00FB27D4">
              <w:rPr>
                <w:sz w:val="20"/>
                <w:szCs w:val="20"/>
                <w:lang w:val="ru-UA"/>
              </w:rPr>
              <w:t xml:space="preserve">. </w:t>
            </w:r>
            <w:proofErr w:type="spellStart"/>
            <w:r w:rsidRPr="00FB27D4">
              <w:rPr>
                <w:sz w:val="20"/>
                <w:szCs w:val="20"/>
                <w:lang w:val="ru-UA"/>
              </w:rPr>
              <w:t>Скажіть</w:t>
            </w:r>
            <w:proofErr w:type="spellEnd"/>
            <w:r w:rsidRPr="00FB27D4">
              <w:rPr>
                <w:sz w:val="20"/>
                <w:szCs w:val="20"/>
                <w:lang w:val="ru-UA"/>
              </w:rPr>
              <w:t xml:space="preserve">, будь ласка, </w:t>
            </w:r>
            <w:proofErr w:type="spellStart"/>
            <w:r w:rsidRPr="00FB27D4">
              <w:rPr>
                <w:sz w:val="20"/>
                <w:szCs w:val="20"/>
                <w:lang w:val="ru-UA"/>
              </w:rPr>
              <w:t>чи</w:t>
            </w:r>
            <w:proofErr w:type="spellEnd"/>
            <w:r w:rsidRPr="00FB27D4">
              <w:rPr>
                <w:sz w:val="20"/>
                <w:szCs w:val="20"/>
                <w:lang w:val="ru-UA"/>
              </w:rPr>
              <w:t xml:space="preserve"> є </w:t>
            </w:r>
            <w:proofErr w:type="spellStart"/>
            <w:r w:rsidRPr="00FB27D4">
              <w:rPr>
                <w:sz w:val="20"/>
                <w:szCs w:val="20"/>
                <w:lang w:val="ru-UA"/>
              </w:rPr>
              <w:t>цей</w:t>
            </w:r>
            <w:proofErr w:type="spellEnd"/>
            <w:r w:rsidRPr="00FB27D4">
              <w:rPr>
                <w:sz w:val="20"/>
                <w:szCs w:val="20"/>
                <w:lang w:val="ru-UA"/>
              </w:rPr>
              <w:t xml:space="preserve"> конкурс </w:t>
            </w:r>
            <w:proofErr w:type="spellStart"/>
            <w:r w:rsidRPr="00FB27D4">
              <w:rPr>
                <w:sz w:val="20"/>
                <w:szCs w:val="20"/>
                <w:lang w:val="ru-UA"/>
              </w:rPr>
              <w:t>продовженням</w:t>
            </w:r>
            <w:proofErr w:type="spellEnd"/>
            <w:r w:rsidRPr="00FB27D4">
              <w:rPr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sz w:val="20"/>
                <w:szCs w:val="20"/>
                <w:lang w:val="ru-UA"/>
              </w:rPr>
              <w:t>попереднього</w:t>
            </w:r>
            <w:proofErr w:type="spellEnd"/>
            <w:r w:rsidRPr="00FB27D4">
              <w:rPr>
                <w:sz w:val="20"/>
                <w:szCs w:val="20"/>
                <w:lang w:val="ru-UA"/>
              </w:rPr>
              <w:t xml:space="preserve">?  </w:t>
            </w:r>
            <w:proofErr w:type="spellStart"/>
            <w:r w:rsidRPr="00FB27D4">
              <w:rPr>
                <w:sz w:val="20"/>
                <w:szCs w:val="20"/>
                <w:lang w:val="ru-UA"/>
              </w:rPr>
              <w:t>Якщо</w:t>
            </w:r>
            <w:proofErr w:type="spellEnd"/>
            <w:r w:rsidRPr="00FB27D4">
              <w:rPr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sz w:val="20"/>
                <w:szCs w:val="20"/>
                <w:lang w:val="ru-UA"/>
              </w:rPr>
              <w:t>ні</w:t>
            </w:r>
            <w:proofErr w:type="spellEnd"/>
            <w:r w:rsidRPr="00FB27D4">
              <w:rPr>
                <w:sz w:val="20"/>
                <w:szCs w:val="20"/>
                <w:lang w:val="ru-UA"/>
              </w:rPr>
              <w:t xml:space="preserve">, </w:t>
            </w:r>
            <w:proofErr w:type="spellStart"/>
            <w:r w:rsidRPr="00FB27D4">
              <w:rPr>
                <w:sz w:val="20"/>
                <w:szCs w:val="20"/>
                <w:lang w:val="ru-UA"/>
              </w:rPr>
              <w:t>чи</w:t>
            </w:r>
            <w:proofErr w:type="spellEnd"/>
            <w:r w:rsidRPr="00FB27D4">
              <w:rPr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sz w:val="20"/>
                <w:szCs w:val="20"/>
                <w:lang w:val="ru-UA"/>
              </w:rPr>
              <w:t>може</w:t>
            </w:r>
            <w:proofErr w:type="spellEnd"/>
            <w:r w:rsidRPr="00FB27D4">
              <w:rPr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sz w:val="20"/>
                <w:szCs w:val="20"/>
                <w:lang w:val="ru-UA"/>
              </w:rPr>
              <w:t>організація</w:t>
            </w:r>
            <w:proofErr w:type="spellEnd"/>
            <w:r w:rsidRPr="00FB27D4">
              <w:rPr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sz w:val="20"/>
                <w:szCs w:val="20"/>
                <w:lang w:val="ru-UA"/>
              </w:rPr>
              <w:t>брати</w:t>
            </w:r>
            <w:proofErr w:type="spellEnd"/>
            <w:r w:rsidRPr="00FB27D4">
              <w:rPr>
                <w:sz w:val="20"/>
                <w:szCs w:val="20"/>
                <w:lang w:val="ru-UA"/>
              </w:rPr>
              <w:t xml:space="preserve"> в </w:t>
            </w:r>
            <w:proofErr w:type="spellStart"/>
            <w:r w:rsidRPr="00FB27D4">
              <w:rPr>
                <w:sz w:val="20"/>
                <w:szCs w:val="20"/>
                <w:lang w:val="ru-UA"/>
              </w:rPr>
              <w:t>ньому</w:t>
            </w:r>
            <w:proofErr w:type="spellEnd"/>
            <w:r w:rsidRPr="00FB27D4">
              <w:rPr>
                <w:sz w:val="20"/>
                <w:szCs w:val="20"/>
                <w:lang w:val="ru-UA"/>
              </w:rPr>
              <w:t xml:space="preserve"> участь, </w:t>
            </w:r>
            <w:proofErr w:type="spellStart"/>
            <w:r w:rsidRPr="00FB27D4">
              <w:rPr>
                <w:sz w:val="20"/>
                <w:szCs w:val="20"/>
                <w:lang w:val="ru-UA"/>
              </w:rPr>
              <w:t>якщо</w:t>
            </w:r>
            <w:proofErr w:type="spellEnd"/>
            <w:r w:rsidRPr="00FB27D4">
              <w:rPr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sz w:val="20"/>
                <w:szCs w:val="20"/>
                <w:lang w:val="ru-UA"/>
              </w:rPr>
              <w:t>попередньо</w:t>
            </w:r>
            <w:proofErr w:type="spellEnd"/>
            <w:r w:rsidRPr="00FB27D4">
              <w:rPr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sz w:val="20"/>
                <w:szCs w:val="20"/>
                <w:lang w:val="ru-UA"/>
              </w:rPr>
              <w:t>вже</w:t>
            </w:r>
            <w:proofErr w:type="spellEnd"/>
            <w:r w:rsidRPr="00FB27D4">
              <w:rPr>
                <w:sz w:val="20"/>
                <w:szCs w:val="20"/>
                <w:lang w:val="ru-UA"/>
              </w:rPr>
              <w:t xml:space="preserve"> подала заявку в ПРООН?</w:t>
            </w:r>
          </w:p>
        </w:tc>
        <w:tc>
          <w:tcPr>
            <w:tcW w:w="4553" w:type="dxa"/>
          </w:tcPr>
          <w:p w14:paraId="4853F6E9" w14:textId="286517B3" w:rsidR="00B062E5" w:rsidRPr="00F519D5" w:rsidRDefault="00FB27D4" w:rsidP="00B062E5">
            <w:pPr>
              <w:spacing w:after="0" w:line="240" w:lineRule="auto"/>
              <w:jc w:val="both"/>
              <w:rPr>
                <w:rFonts w:cs="Calibri"/>
                <w:b/>
                <w:bCs/>
                <w:sz w:val="20"/>
                <w:szCs w:val="20"/>
                <w:lang w:val="ru-UA"/>
              </w:rPr>
            </w:pP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Ціллю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запиту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інформації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від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національних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та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міжнародних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неурядових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громадських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організацій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(ОГС/ ГО)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було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виявлення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інтересу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ОГС/ГО у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потенційному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партнерстві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щодо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адміністрування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програми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малих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грантів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.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Після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завершення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публікації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запиту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інформації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,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організації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,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що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виявили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зацікавленість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і подали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повний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пакет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документів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були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поділені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на 4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категорії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відповідно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до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попередньо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оголошених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критеріїв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.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Організації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,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що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отримали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статус «добре» та «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відмінно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»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отримали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конкурсне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оголошення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щодо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адміністрування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програми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малих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грантів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шляхом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прямої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розсилки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. У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разі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зацікавленості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такі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організації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повинні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підготувати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повну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заявку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із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пакетом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документів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, і подати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її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у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вказані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в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оголошенні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терміни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. В той же час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це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не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означає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,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що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переможця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фактично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оголошеного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конкурсу з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адміністрування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програми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малих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грантів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буде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відібрано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саме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серед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цих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організацій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, і будь-яка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організація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,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що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відповідає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вимогам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конкурсу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може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подавати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заявку на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адміністрування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програми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малих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грантів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, і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така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заявка буде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розглянута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конкурсною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комісією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.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Переможною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буде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обрано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ту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пропозицію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,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що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набере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найбільшу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кількість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балів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відповідно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до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критеріїв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оцінки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.</w:t>
            </w:r>
          </w:p>
        </w:tc>
      </w:tr>
      <w:tr w:rsidR="00BC3B00" w:rsidRPr="00F519D5" w14:paraId="3E550D66" w14:textId="77777777" w:rsidTr="003A0D6E">
        <w:tc>
          <w:tcPr>
            <w:tcW w:w="710" w:type="dxa"/>
          </w:tcPr>
          <w:p w14:paraId="650A2A79" w14:textId="77777777" w:rsidR="00BC3B00" w:rsidRPr="00F519D5" w:rsidRDefault="00BC3B00" w:rsidP="00B062E5">
            <w:pPr>
              <w:numPr>
                <w:ilvl w:val="0"/>
                <w:numId w:val="1"/>
              </w:numPr>
              <w:spacing w:after="0" w:line="240" w:lineRule="auto"/>
              <w:ind w:left="284"/>
              <w:jc w:val="both"/>
              <w:rPr>
                <w:rFonts w:cs="Calibri"/>
                <w:b/>
                <w:sz w:val="20"/>
                <w:szCs w:val="20"/>
                <w:lang w:val="ru-RU"/>
              </w:rPr>
            </w:pPr>
          </w:p>
        </w:tc>
        <w:tc>
          <w:tcPr>
            <w:tcW w:w="4501" w:type="dxa"/>
          </w:tcPr>
          <w:p w14:paraId="520C516D" w14:textId="31794BC9" w:rsidR="00BC3B00" w:rsidRPr="00F519D5" w:rsidRDefault="00FB27D4" w:rsidP="00B6284A">
            <w:pPr>
              <w:pStyle w:val="xmsonormal"/>
              <w:jc w:val="both"/>
            </w:pPr>
            <w:proofErr w:type="spellStart"/>
            <w:r w:rsidRPr="00FB27D4">
              <w:rPr>
                <w:lang w:val="ru-UA"/>
              </w:rPr>
              <w:t>The</w:t>
            </w:r>
            <w:proofErr w:type="spellEnd"/>
            <w:r w:rsidRPr="00FB27D4">
              <w:rPr>
                <w:lang w:val="ru-UA"/>
              </w:rPr>
              <w:t xml:space="preserve"> SGP </w:t>
            </w:r>
            <w:proofErr w:type="spellStart"/>
            <w:r w:rsidRPr="00FB27D4">
              <w:rPr>
                <w:lang w:val="ru-UA"/>
              </w:rPr>
              <w:t>envisages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distribution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of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at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least</w:t>
            </w:r>
            <w:proofErr w:type="spellEnd"/>
            <w:r w:rsidRPr="00FB27D4">
              <w:rPr>
                <w:lang w:val="ru-UA"/>
              </w:rPr>
              <w:t xml:space="preserve"> 85 </w:t>
            </w:r>
            <w:proofErr w:type="spellStart"/>
            <w:r w:rsidRPr="00FB27D4">
              <w:rPr>
                <w:lang w:val="ru-UA"/>
              </w:rPr>
              <w:t>small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grants</w:t>
            </w:r>
            <w:proofErr w:type="spellEnd"/>
            <w:r w:rsidRPr="00FB27D4">
              <w:rPr>
                <w:lang w:val="ru-UA"/>
              </w:rPr>
              <w:t xml:space="preserve">. </w:t>
            </w:r>
            <w:proofErr w:type="spellStart"/>
            <w:r w:rsidRPr="00FB27D4">
              <w:rPr>
                <w:lang w:val="ru-UA"/>
              </w:rPr>
              <w:t>If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for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some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reasons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the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number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of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grants</w:t>
            </w:r>
            <w:proofErr w:type="spellEnd"/>
            <w:r w:rsidRPr="00FB27D4">
              <w:rPr>
                <w:lang w:val="ru-UA"/>
              </w:rPr>
              <w:t xml:space="preserve">  </w:t>
            </w:r>
            <w:proofErr w:type="spellStart"/>
            <w:r w:rsidRPr="00FB27D4">
              <w:rPr>
                <w:lang w:val="ru-UA"/>
              </w:rPr>
              <w:t>less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than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expected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how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it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will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impact</w:t>
            </w:r>
            <w:proofErr w:type="spellEnd"/>
            <w:r w:rsidRPr="00FB27D4">
              <w:rPr>
                <w:lang w:val="ru-UA"/>
              </w:rPr>
              <w:t xml:space="preserve">  </w:t>
            </w:r>
            <w:proofErr w:type="spellStart"/>
            <w:r w:rsidRPr="00FB27D4">
              <w:rPr>
                <w:lang w:val="ru-UA"/>
              </w:rPr>
              <w:t>Responsible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party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budget</w:t>
            </w:r>
            <w:proofErr w:type="spellEnd"/>
            <w:r w:rsidRPr="00FB27D4">
              <w:rPr>
                <w:lang w:val="ru-UA"/>
              </w:rPr>
              <w:t xml:space="preserve"> (</w:t>
            </w:r>
            <w:proofErr w:type="spellStart"/>
            <w:r w:rsidRPr="00FB27D4">
              <w:rPr>
                <w:lang w:val="ru-UA"/>
              </w:rPr>
              <w:t>administrative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costs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related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to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the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implementation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of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the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small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business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grants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programme</w:t>
            </w:r>
            <w:proofErr w:type="spellEnd"/>
            <w:r w:rsidRPr="00FB27D4">
              <w:rPr>
                <w:lang w:val="ru-UA"/>
              </w:rPr>
              <w:t xml:space="preserve">).    </w:t>
            </w:r>
            <w:r w:rsidR="00E946F5">
              <w:rPr>
                <w:lang w:val="ru-UA"/>
              </w:rPr>
              <w:t>.</w:t>
            </w:r>
          </w:p>
        </w:tc>
        <w:tc>
          <w:tcPr>
            <w:tcW w:w="4553" w:type="dxa"/>
          </w:tcPr>
          <w:p w14:paraId="3D9CAAE6" w14:textId="130F9B97" w:rsidR="00BC3B00" w:rsidRPr="00E946F5" w:rsidRDefault="00FB27D4" w:rsidP="00B062E5">
            <w:pPr>
              <w:spacing w:after="0" w:line="240" w:lineRule="auto"/>
              <w:jc w:val="both"/>
              <w:rPr>
                <w:rFonts w:cs="Calibri"/>
                <w:b/>
                <w:bCs/>
                <w:sz w:val="20"/>
                <w:szCs w:val="20"/>
                <w:lang w:val="ru-UA"/>
              </w:rPr>
            </w:pP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Кількість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грантів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вказана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приблизно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,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оскільки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на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цьому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етапі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ми не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можемо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спрогнозувати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остаточну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кількість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грантів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,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бо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вони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матимуть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різний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розмір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бюджету.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Незважаючи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на те,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чи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остаточна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кількість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виявиться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меншою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чи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більшою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за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заявлену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,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розмір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адміністративних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витрат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не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зміниться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,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оскільки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можливий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максимальний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розмір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адміністративних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витрат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обрахований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як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відсоток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від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розміру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грантового фонду. Але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основна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вимога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–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повністю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розподілити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бюджет на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гранти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між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партнерськими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НУО на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конкурсній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основі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.</w:t>
            </w:r>
          </w:p>
        </w:tc>
      </w:tr>
      <w:tr w:rsidR="009D2BFE" w:rsidRPr="00F519D5" w14:paraId="3ADBB265" w14:textId="77777777" w:rsidTr="003A0D6E">
        <w:tc>
          <w:tcPr>
            <w:tcW w:w="710" w:type="dxa"/>
          </w:tcPr>
          <w:p w14:paraId="21AE4483" w14:textId="77777777" w:rsidR="009D2BFE" w:rsidRPr="00F519D5" w:rsidRDefault="009D2BFE" w:rsidP="00B062E5">
            <w:pPr>
              <w:numPr>
                <w:ilvl w:val="0"/>
                <w:numId w:val="1"/>
              </w:numPr>
              <w:spacing w:after="0" w:line="240" w:lineRule="auto"/>
              <w:ind w:left="284"/>
              <w:jc w:val="both"/>
              <w:rPr>
                <w:rFonts w:cs="Calibri"/>
                <w:b/>
                <w:sz w:val="20"/>
                <w:szCs w:val="20"/>
                <w:lang w:val="ru-RU"/>
              </w:rPr>
            </w:pPr>
          </w:p>
        </w:tc>
        <w:tc>
          <w:tcPr>
            <w:tcW w:w="4501" w:type="dxa"/>
          </w:tcPr>
          <w:p w14:paraId="35870BB0" w14:textId="7545CC56" w:rsidR="009D2BFE" w:rsidRPr="009D2BFE" w:rsidRDefault="00FB27D4" w:rsidP="00B6284A">
            <w:pPr>
              <w:pStyle w:val="xmsonormal"/>
              <w:jc w:val="both"/>
            </w:pPr>
            <w:proofErr w:type="spellStart"/>
            <w:r w:rsidRPr="00FB27D4">
              <w:t>The</w:t>
            </w:r>
            <w:proofErr w:type="spellEnd"/>
            <w:r w:rsidRPr="00FB27D4">
              <w:t xml:space="preserve"> </w:t>
            </w:r>
            <w:proofErr w:type="spellStart"/>
            <w:r w:rsidRPr="00FB27D4">
              <w:t>ToR</w:t>
            </w:r>
            <w:proofErr w:type="spellEnd"/>
            <w:r w:rsidRPr="00FB27D4">
              <w:t xml:space="preserve"> </w:t>
            </w:r>
            <w:proofErr w:type="spellStart"/>
            <w:r w:rsidRPr="00FB27D4">
              <w:t>envisages</w:t>
            </w:r>
            <w:proofErr w:type="spellEnd"/>
            <w:r w:rsidRPr="00FB27D4">
              <w:t xml:space="preserve"> </w:t>
            </w:r>
            <w:proofErr w:type="spellStart"/>
            <w:r w:rsidRPr="00FB27D4">
              <w:t>introduction</w:t>
            </w:r>
            <w:proofErr w:type="spellEnd"/>
            <w:r w:rsidRPr="00FB27D4">
              <w:t xml:space="preserve"> </w:t>
            </w:r>
            <w:proofErr w:type="spellStart"/>
            <w:r w:rsidRPr="00FB27D4">
              <w:t>of</w:t>
            </w:r>
            <w:proofErr w:type="spellEnd"/>
            <w:r w:rsidRPr="00FB27D4">
              <w:t xml:space="preserve"> a </w:t>
            </w:r>
            <w:proofErr w:type="spellStart"/>
            <w:r w:rsidRPr="00FB27D4">
              <w:t>special</w:t>
            </w:r>
            <w:proofErr w:type="spellEnd"/>
            <w:r w:rsidRPr="00FB27D4">
              <w:t xml:space="preserve"> "</w:t>
            </w:r>
            <w:proofErr w:type="spellStart"/>
            <w:r w:rsidRPr="00FB27D4">
              <w:t>online</w:t>
            </w:r>
            <w:proofErr w:type="spellEnd"/>
            <w:r w:rsidRPr="00FB27D4">
              <w:t xml:space="preserve"> </w:t>
            </w:r>
            <w:proofErr w:type="spellStart"/>
            <w:r w:rsidRPr="00FB27D4">
              <w:t>application</w:t>
            </w:r>
            <w:proofErr w:type="spellEnd"/>
            <w:r w:rsidRPr="00FB27D4">
              <w:t xml:space="preserve"> </w:t>
            </w:r>
            <w:proofErr w:type="spellStart"/>
            <w:r w:rsidRPr="00FB27D4">
              <w:t>and</w:t>
            </w:r>
            <w:proofErr w:type="spellEnd"/>
            <w:r w:rsidRPr="00FB27D4">
              <w:t xml:space="preserve"> evaluation </w:t>
            </w:r>
            <w:proofErr w:type="spellStart"/>
            <w:r w:rsidRPr="00FB27D4">
              <w:t>tool</w:t>
            </w:r>
            <w:proofErr w:type="spellEnd"/>
            <w:r w:rsidRPr="00FB27D4">
              <w:t xml:space="preserve">" </w:t>
            </w:r>
            <w:proofErr w:type="spellStart"/>
            <w:r w:rsidRPr="00FB27D4">
              <w:t>and</w:t>
            </w:r>
            <w:proofErr w:type="spellEnd"/>
            <w:r w:rsidRPr="00FB27D4">
              <w:t xml:space="preserve"> </w:t>
            </w:r>
            <w:proofErr w:type="spellStart"/>
            <w:r w:rsidRPr="00FB27D4">
              <w:t>later</w:t>
            </w:r>
            <w:proofErr w:type="spellEnd"/>
            <w:r w:rsidRPr="00FB27D4">
              <w:t xml:space="preserve"> </w:t>
            </w:r>
            <w:proofErr w:type="spellStart"/>
            <w:r w:rsidRPr="00FB27D4">
              <w:t>the</w:t>
            </w:r>
            <w:proofErr w:type="spellEnd"/>
            <w:r w:rsidRPr="00FB27D4">
              <w:t xml:space="preserve"> </w:t>
            </w:r>
            <w:proofErr w:type="spellStart"/>
            <w:r w:rsidRPr="00FB27D4">
              <w:t>task</w:t>
            </w:r>
            <w:proofErr w:type="spellEnd"/>
            <w:r w:rsidRPr="00FB27D4">
              <w:t xml:space="preserve"> </w:t>
            </w:r>
            <w:proofErr w:type="spellStart"/>
            <w:r w:rsidRPr="00FB27D4">
              <w:t>of</w:t>
            </w:r>
            <w:proofErr w:type="spellEnd"/>
            <w:r w:rsidRPr="00FB27D4">
              <w:t xml:space="preserve"> </w:t>
            </w:r>
            <w:proofErr w:type="spellStart"/>
            <w:r w:rsidRPr="00FB27D4">
              <w:t>development</w:t>
            </w:r>
            <w:proofErr w:type="spellEnd"/>
            <w:r w:rsidRPr="00FB27D4">
              <w:t xml:space="preserve"> </w:t>
            </w:r>
            <w:proofErr w:type="spellStart"/>
            <w:r w:rsidRPr="00FB27D4">
              <w:t>of</w:t>
            </w:r>
            <w:proofErr w:type="spellEnd"/>
            <w:r w:rsidRPr="00FB27D4">
              <w:t xml:space="preserve"> "</w:t>
            </w:r>
            <w:proofErr w:type="spellStart"/>
            <w:r w:rsidRPr="00FB27D4">
              <w:t>online</w:t>
            </w:r>
            <w:proofErr w:type="spellEnd"/>
            <w:r w:rsidRPr="00FB27D4">
              <w:t xml:space="preserve"> </w:t>
            </w:r>
            <w:proofErr w:type="spellStart"/>
            <w:r w:rsidRPr="00FB27D4">
              <w:t>and</w:t>
            </w:r>
            <w:proofErr w:type="spellEnd"/>
            <w:r w:rsidRPr="00FB27D4">
              <w:t xml:space="preserve"> </w:t>
            </w:r>
            <w:proofErr w:type="spellStart"/>
            <w:r w:rsidRPr="00FB27D4">
              <w:t>offline</w:t>
            </w:r>
            <w:proofErr w:type="spellEnd"/>
            <w:r w:rsidRPr="00FB27D4">
              <w:t xml:space="preserve"> (</w:t>
            </w:r>
            <w:proofErr w:type="spellStart"/>
            <w:r w:rsidRPr="00FB27D4">
              <w:t>paperless</w:t>
            </w:r>
            <w:proofErr w:type="spellEnd"/>
            <w:r w:rsidRPr="00FB27D4">
              <w:t xml:space="preserve">) </w:t>
            </w:r>
            <w:proofErr w:type="spellStart"/>
            <w:r w:rsidRPr="00FB27D4">
              <w:t>application</w:t>
            </w:r>
            <w:proofErr w:type="spellEnd"/>
            <w:r w:rsidRPr="00FB27D4">
              <w:t xml:space="preserve"> </w:t>
            </w:r>
            <w:proofErr w:type="spellStart"/>
            <w:r w:rsidRPr="00FB27D4">
              <w:t>form</w:t>
            </w:r>
            <w:proofErr w:type="spellEnd"/>
            <w:r w:rsidRPr="00FB27D4">
              <w:t xml:space="preserve"> ..." </w:t>
            </w:r>
            <w:proofErr w:type="spellStart"/>
            <w:r w:rsidRPr="00FB27D4">
              <w:t>is</w:t>
            </w:r>
            <w:proofErr w:type="spellEnd"/>
            <w:r w:rsidRPr="00FB27D4">
              <w:t xml:space="preserve"> </w:t>
            </w:r>
            <w:proofErr w:type="spellStart"/>
            <w:r w:rsidRPr="00FB27D4">
              <w:t>envisaged</w:t>
            </w:r>
            <w:proofErr w:type="spellEnd"/>
            <w:r w:rsidRPr="00FB27D4">
              <w:t xml:space="preserve">. </w:t>
            </w:r>
            <w:proofErr w:type="spellStart"/>
            <w:r w:rsidRPr="00FB27D4">
              <w:t>Could</w:t>
            </w:r>
            <w:proofErr w:type="spellEnd"/>
            <w:r w:rsidRPr="00FB27D4">
              <w:t xml:space="preserve"> </w:t>
            </w:r>
            <w:proofErr w:type="spellStart"/>
            <w:r w:rsidRPr="00FB27D4">
              <w:t>you</w:t>
            </w:r>
            <w:proofErr w:type="spellEnd"/>
            <w:r w:rsidRPr="00FB27D4">
              <w:t xml:space="preserve"> </w:t>
            </w:r>
            <w:proofErr w:type="spellStart"/>
            <w:r w:rsidRPr="00FB27D4">
              <w:t>please</w:t>
            </w:r>
            <w:proofErr w:type="spellEnd"/>
            <w:r w:rsidRPr="00FB27D4">
              <w:t xml:space="preserve"> </w:t>
            </w:r>
            <w:proofErr w:type="spellStart"/>
            <w:r w:rsidRPr="00FB27D4">
              <w:t>clarify</w:t>
            </w:r>
            <w:proofErr w:type="spellEnd"/>
            <w:r w:rsidRPr="00FB27D4">
              <w:t xml:space="preserve"> </w:t>
            </w:r>
            <w:proofErr w:type="spellStart"/>
            <w:r w:rsidRPr="00FB27D4">
              <w:t>how</w:t>
            </w:r>
            <w:proofErr w:type="spellEnd"/>
            <w:r w:rsidRPr="00FB27D4">
              <w:t xml:space="preserve"> </w:t>
            </w:r>
            <w:proofErr w:type="spellStart"/>
            <w:r w:rsidRPr="00FB27D4">
              <w:t>these</w:t>
            </w:r>
            <w:proofErr w:type="spellEnd"/>
            <w:r w:rsidRPr="00FB27D4">
              <w:t xml:space="preserve"> </w:t>
            </w:r>
            <w:proofErr w:type="spellStart"/>
            <w:r w:rsidRPr="00FB27D4">
              <w:t>two</w:t>
            </w:r>
            <w:proofErr w:type="spellEnd"/>
            <w:r w:rsidRPr="00FB27D4">
              <w:t xml:space="preserve"> </w:t>
            </w:r>
            <w:proofErr w:type="spellStart"/>
            <w:r w:rsidRPr="00FB27D4">
              <w:t>issues</w:t>
            </w:r>
            <w:proofErr w:type="spellEnd"/>
            <w:r w:rsidRPr="00FB27D4">
              <w:t xml:space="preserve"> </w:t>
            </w:r>
            <w:proofErr w:type="spellStart"/>
            <w:r w:rsidRPr="00FB27D4">
              <w:t>are</w:t>
            </w:r>
            <w:proofErr w:type="spellEnd"/>
            <w:r w:rsidRPr="00FB27D4">
              <w:t xml:space="preserve"> </w:t>
            </w:r>
            <w:proofErr w:type="spellStart"/>
            <w:r w:rsidRPr="00FB27D4">
              <w:t>interellated</w:t>
            </w:r>
            <w:proofErr w:type="spellEnd"/>
            <w:r w:rsidRPr="00FB27D4">
              <w:t>.</w:t>
            </w:r>
          </w:p>
        </w:tc>
        <w:tc>
          <w:tcPr>
            <w:tcW w:w="4553" w:type="dxa"/>
          </w:tcPr>
          <w:p w14:paraId="18D83E53" w14:textId="4F0588F3" w:rsidR="009D2BFE" w:rsidRDefault="00FB27D4" w:rsidP="00B062E5">
            <w:pPr>
              <w:spacing w:after="0" w:line="240" w:lineRule="auto"/>
              <w:jc w:val="both"/>
              <w:rPr>
                <w:rFonts w:cs="Calibri"/>
                <w:b/>
                <w:bCs/>
                <w:sz w:val="20"/>
                <w:szCs w:val="20"/>
                <w:lang w:val="ru-UA"/>
              </w:rPr>
            </w:pPr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Ми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орієнтовані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на те,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що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заявки у 95+%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будуть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подаватися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через онлайн платформу,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проте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має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бути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передбачений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механізм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подачі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заявки НУО,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що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не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матиме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доступу до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інтернету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. Ми в тому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числі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працюємо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із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громадами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біля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лінії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зіткнення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, і не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хочемо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,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щоб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хтось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не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мав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можливості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подати заявку через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перебої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з доступом до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інтернету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у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зв’язку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із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можливим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загостренням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конфлікту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. Ми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хочемо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,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щоб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була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запропонована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процедура для НУО,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що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можуть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lastRenderedPageBreak/>
              <w:t>звернутися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на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гарячу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лінію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із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подібним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питанням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під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час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проведення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конкурсу.</w:t>
            </w:r>
          </w:p>
        </w:tc>
      </w:tr>
      <w:tr w:rsidR="00B6284A" w:rsidRPr="00F519D5" w14:paraId="29CE4C76" w14:textId="77777777" w:rsidTr="003A0D6E">
        <w:tc>
          <w:tcPr>
            <w:tcW w:w="710" w:type="dxa"/>
          </w:tcPr>
          <w:p w14:paraId="53D5A7B9" w14:textId="77777777" w:rsidR="00B6284A" w:rsidRPr="00F519D5" w:rsidRDefault="00B6284A" w:rsidP="00B062E5">
            <w:pPr>
              <w:numPr>
                <w:ilvl w:val="0"/>
                <w:numId w:val="1"/>
              </w:numPr>
              <w:spacing w:after="0" w:line="240" w:lineRule="auto"/>
              <w:ind w:left="284"/>
              <w:jc w:val="both"/>
              <w:rPr>
                <w:rFonts w:cs="Calibri"/>
                <w:b/>
                <w:sz w:val="20"/>
                <w:szCs w:val="20"/>
                <w:lang w:val="ru-RU"/>
              </w:rPr>
            </w:pPr>
          </w:p>
        </w:tc>
        <w:tc>
          <w:tcPr>
            <w:tcW w:w="4501" w:type="dxa"/>
          </w:tcPr>
          <w:p w14:paraId="46904E61" w14:textId="3BC1EAAA" w:rsidR="00B6284A" w:rsidRPr="00B6284A" w:rsidRDefault="00FB27D4" w:rsidP="00B6284A">
            <w:pPr>
              <w:pStyle w:val="xmsonormal"/>
              <w:jc w:val="both"/>
              <w:rPr>
                <w:lang w:val="ru-UA"/>
              </w:rPr>
            </w:pPr>
            <w:proofErr w:type="spellStart"/>
            <w:r w:rsidRPr="00FB27D4">
              <w:rPr>
                <w:lang w:val="ru-UA"/>
              </w:rPr>
              <w:t>The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ToR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envisages</w:t>
            </w:r>
            <w:proofErr w:type="spellEnd"/>
            <w:r w:rsidRPr="00FB27D4">
              <w:rPr>
                <w:lang w:val="ru-UA"/>
              </w:rPr>
              <w:t xml:space="preserve"> "</w:t>
            </w:r>
            <w:proofErr w:type="spellStart"/>
            <w:r w:rsidRPr="00FB27D4">
              <w:rPr>
                <w:lang w:val="ru-UA"/>
              </w:rPr>
              <w:t>field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visits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to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each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grantee</w:t>
            </w:r>
            <w:proofErr w:type="spellEnd"/>
            <w:r w:rsidRPr="00FB27D4">
              <w:rPr>
                <w:lang w:val="ru-UA"/>
              </w:rPr>
              <w:t xml:space="preserve">". </w:t>
            </w:r>
            <w:proofErr w:type="spellStart"/>
            <w:r w:rsidRPr="00FB27D4">
              <w:rPr>
                <w:lang w:val="ru-UA"/>
              </w:rPr>
              <w:t>How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many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visits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per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grantee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you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see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as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necessary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for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the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project</w:t>
            </w:r>
            <w:proofErr w:type="spellEnd"/>
            <w:r w:rsidRPr="00FB27D4">
              <w:rPr>
                <w:lang w:val="ru-UA"/>
              </w:rPr>
              <w:t>?</w:t>
            </w:r>
          </w:p>
        </w:tc>
        <w:tc>
          <w:tcPr>
            <w:tcW w:w="4553" w:type="dxa"/>
          </w:tcPr>
          <w:p w14:paraId="291BC7D7" w14:textId="2C4FD1D6" w:rsidR="00B6284A" w:rsidRDefault="00FB27D4" w:rsidP="00B062E5">
            <w:pPr>
              <w:spacing w:after="0" w:line="240" w:lineRule="auto"/>
              <w:jc w:val="both"/>
              <w:rPr>
                <w:rFonts w:cs="Calibri"/>
                <w:b/>
                <w:bCs/>
                <w:sz w:val="20"/>
                <w:szCs w:val="20"/>
                <w:lang w:val="ru-UA"/>
              </w:rPr>
            </w:pP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Кожна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організація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може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запропонувати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своє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бачення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кількості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візитів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. Тут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малося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на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увазі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мінімум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1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візит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.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Якщо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організація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розуміє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,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що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не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зможе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фізично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охопити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візитами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усі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100%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грантерів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,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має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бути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запропонований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комбінований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підхід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до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моніторингу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,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що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включатиме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, як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польові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візити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до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грантерів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, так і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інші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механізми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моніторингу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.</w:t>
            </w:r>
          </w:p>
        </w:tc>
      </w:tr>
      <w:tr w:rsidR="00B6284A" w:rsidRPr="00F519D5" w14:paraId="7C1234A6" w14:textId="77777777" w:rsidTr="003A0D6E">
        <w:tc>
          <w:tcPr>
            <w:tcW w:w="710" w:type="dxa"/>
          </w:tcPr>
          <w:p w14:paraId="60D11B5C" w14:textId="77777777" w:rsidR="00B6284A" w:rsidRPr="00F519D5" w:rsidRDefault="00B6284A" w:rsidP="00B062E5">
            <w:pPr>
              <w:numPr>
                <w:ilvl w:val="0"/>
                <w:numId w:val="1"/>
              </w:numPr>
              <w:spacing w:after="0" w:line="240" w:lineRule="auto"/>
              <w:ind w:left="284"/>
              <w:jc w:val="both"/>
              <w:rPr>
                <w:rFonts w:cs="Calibri"/>
                <w:b/>
                <w:sz w:val="20"/>
                <w:szCs w:val="20"/>
                <w:lang w:val="ru-RU"/>
              </w:rPr>
            </w:pPr>
          </w:p>
        </w:tc>
        <w:tc>
          <w:tcPr>
            <w:tcW w:w="4501" w:type="dxa"/>
          </w:tcPr>
          <w:p w14:paraId="511374E2" w14:textId="12AD1D27" w:rsidR="00B6284A" w:rsidRDefault="00FB27D4" w:rsidP="00B6284A">
            <w:pPr>
              <w:pStyle w:val="xmsonormal"/>
              <w:jc w:val="both"/>
              <w:rPr>
                <w:lang w:val="ru-UA"/>
              </w:rPr>
            </w:pPr>
            <w:proofErr w:type="spellStart"/>
            <w:r w:rsidRPr="00FB27D4">
              <w:rPr>
                <w:lang w:val="ru-UA"/>
              </w:rPr>
              <w:t>According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to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the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ToR</w:t>
            </w:r>
            <w:proofErr w:type="spellEnd"/>
            <w:r w:rsidRPr="00FB27D4">
              <w:rPr>
                <w:lang w:val="ru-UA"/>
              </w:rPr>
              <w:t xml:space="preserve"> “</w:t>
            </w:r>
            <w:proofErr w:type="spellStart"/>
            <w:r w:rsidRPr="00FB27D4">
              <w:rPr>
                <w:lang w:val="ru-UA"/>
              </w:rPr>
              <w:t>Payment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of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expenses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in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the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organisation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of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Evaluation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Committees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associated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with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the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lease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of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premises</w:t>
            </w:r>
            <w:proofErr w:type="spellEnd"/>
            <w:r w:rsidRPr="00FB27D4">
              <w:rPr>
                <w:lang w:val="ru-UA"/>
              </w:rPr>
              <w:t xml:space="preserve">, </w:t>
            </w:r>
            <w:proofErr w:type="spellStart"/>
            <w:r w:rsidRPr="00FB27D4">
              <w:rPr>
                <w:lang w:val="ru-UA"/>
              </w:rPr>
              <w:t>organisation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of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coffee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breaks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and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reimbursement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for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travel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of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the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grant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competition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participants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will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be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made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by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the</w:t>
            </w:r>
            <w:proofErr w:type="spellEnd"/>
            <w:r w:rsidRPr="00FB27D4">
              <w:rPr>
                <w:lang w:val="ru-UA"/>
              </w:rPr>
              <w:t xml:space="preserve"> UNDP </w:t>
            </w:r>
            <w:proofErr w:type="spellStart"/>
            <w:r w:rsidRPr="00FB27D4">
              <w:rPr>
                <w:lang w:val="ru-UA"/>
              </w:rPr>
              <w:t>contractor</w:t>
            </w:r>
            <w:proofErr w:type="spellEnd"/>
            <w:r w:rsidRPr="00FB27D4">
              <w:rPr>
                <w:lang w:val="ru-UA"/>
              </w:rPr>
              <w:t xml:space="preserve"> – </w:t>
            </w:r>
            <w:proofErr w:type="spellStart"/>
            <w:r w:rsidRPr="00FB27D4">
              <w:rPr>
                <w:lang w:val="ru-UA"/>
              </w:rPr>
              <w:t>organising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company</w:t>
            </w:r>
            <w:proofErr w:type="spellEnd"/>
            <w:r w:rsidRPr="00FB27D4">
              <w:rPr>
                <w:lang w:val="ru-UA"/>
              </w:rPr>
              <w:t xml:space="preserve">.” </w:t>
            </w:r>
            <w:proofErr w:type="spellStart"/>
            <w:r w:rsidRPr="00FB27D4">
              <w:rPr>
                <w:lang w:val="ru-UA"/>
              </w:rPr>
              <w:t>Are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there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any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remuneration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for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the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work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of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Evaluation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Committee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members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envisaged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as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reasonable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compensation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for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their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time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and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efforts</w:t>
            </w:r>
            <w:proofErr w:type="spellEnd"/>
            <w:r w:rsidRPr="00FB27D4">
              <w:rPr>
                <w:lang w:val="ru-UA"/>
              </w:rPr>
              <w:t>?</w:t>
            </w:r>
          </w:p>
        </w:tc>
        <w:tc>
          <w:tcPr>
            <w:tcW w:w="4553" w:type="dxa"/>
          </w:tcPr>
          <w:p w14:paraId="7277E17C" w14:textId="6A46C674" w:rsidR="00B6284A" w:rsidRDefault="00FB27D4" w:rsidP="00B062E5">
            <w:pPr>
              <w:spacing w:after="0" w:line="240" w:lineRule="auto"/>
              <w:jc w:val="both"/>
              <w:rPr>
                <w:rFonts w:cs="Calibri"/>
                <w:b/>
                <w:bCs/>
                <w:sz w:val="20"/>
                <w:szCs w:val="20"/>
                <w:lang w:val="ru-UA"/>
              </w:rPr>
            </w:pP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Це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помилка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у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технічному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завданні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. Участь у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комісії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є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неоплачуваною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, тому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передбачати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кошти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для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експертів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немає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потреби.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Організація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має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передбачити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кошти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для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декількох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поїздок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представників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організації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до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Краматорська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для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організації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комісій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. Для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проведення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комісій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ми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використовуємо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конференц-зал у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приміщенні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ООН, тому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його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також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не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потрібно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оплачувати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.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Кава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пауза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зайвою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не буде.</w:t>
            </w:r>
          </w:p>
        </w:tc>
      </w:tr>
      <w:tr w:rsidR="004E1B6C" w:rsidRPr="00F519D5" w14:paraId="437379A3" w14:textId="77777777" w:rsidTr="003A0D6E">
        <w:tc>
          <w:tcPr>
            <w:tcW w:w="710" w:type="dxa"/>
          </w:tcPr>
          <w:p w14:paraId="5FEFE5B5" w14:textId="77777777" w:rsidR="004E1B6C" w:rsidRPr="00F519D5" w:rsidRDefault="004E1B6C" w:rsidP="00B062E5">
            <w:pPr>
              <w:numPr>
                <w:ilvl w:val="0"/>
                <w:numId w:val="1"/>
              </w:numPr>
              <w:spacing w:after="0" w:line="240" w:lineRule="auto"/>
              <w:ind w:left="284"/>
              <w:jc w:val="both"/>
              <w:rPr>
                <w:rFonts w:cs="Calibri"/>
                <w:b/>
                <w:sz w:val="20"/>
                <w:szCs w:val="20"/>
                <w:lang w:val="uk-UA"/>
              </w:rPr>
            </w:pPr>
          </w:p>
        </w:tc>
        <w:tc>
          <w:tcPr>
            <w:tcW w:w="4501" w:type="dxa"/>
          </w:tcPr>
          <w:p w14:paraId="114C40ED" w14:textId="081E8CA1" w:rsidR="004E1B6C" w:rsidRPr="00F519D5" w:rsidRDefault="00FB27D4" w:rsidP="00B062E5">
            <w:pPr>
              <w:pStyle w:val="xmsonormal"/>
              <w:rPr>
                <w:lang w:val="ru-RU"/>
              </w:rPr>
            </w:pPr>
            <w:proofErr w:type="spellStart"/>
            <w:r w:rsidRPr="00FB27D4">
              <w:rPr>
                <w:lang w:val="ru-UA"/>
              </w:rPr>
              <w:t>Should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we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include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the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costs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of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small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projects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evaluation</w:t>
            </w:r>
            <w:proofErr w:type="spellEnd"/>
            <w:r w:rsidRPr="00FB27D4">
              <w:rPr>
                <w:lang w:val="ru-UA"/>
              </w:rPr>
              <w:t xml:space="preserve"> (</w:t>
            </w:r>
            <w:proofErr w:type="spellStart"/>
            <w:r w:rsidRPr="00FB27D4">
              <w:rPr>
                <w:lang w:val="ru-UA"/>
              </w:rPr>
              <w:t>travel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and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communication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costs</w:t>
            </w:r>
            <w:proofErr w:type="spellEnd"/>
            <w:r w:rsidRPr="00FB27D4">
              <w:rPr>
                <w:lang w:val="ru-UA"/>
              </w:rPr>
              <w:t xml:space="preserve">, </w:t>
            </w:r>
            <w:proofErr w:type="spellStart"/>
            <w:r w:rsidRPr="00FB27D4">
              <w:rPr>
                <w:lang w:val="ru-UA"/>
              </w:rPr>
              <w:t>remuneration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etc</w:t>
            </w:r>
            <w:proofErr w:type="spellEnd"/>
            <w:r w:rsidRPr="00FB27D4">
              <w:rPr>
                <w:lang w:val="ru-UA"/>
              </w:rPr>
              <w:t xml:space="preserve">) </w:t>
            </w:r>
            <w:proofErr w:type="spellStart"/>
            <w:r w:rsidRPr="00FB27D4">
              <w:rPr>
                <w:lang w:val="ru-UA"/>
              </w:rPr>
              <w:t>in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the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total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budget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of</w:t>
            </w:r>
            <w:proofErr w:type="spellEnd"/>
            <w:r w:rsidRPr="00FB27D4">
              <w:rPr>
                <w:lang w:val="ru-UA"/>
              </w:rPr>
              <w:t xml:space="preserve">  </w:t>
            </w:r>
            <w:proofErr w:type="spellStart"/>
            <w:r w:rsidRPr="00FB27D4">
              <w:rPr>
                <w:lang w:val="ru-UA"/>
              </w:rPr>
              <w:t>Responsible</w:t>
            </w:r>
            <w:proofErr w:type="spellEnd"/>
            <w:r w:rsidRPr="00FB27D4">
              <w:rPr>
                <w:lang w:val="ru-UA"/>
              </w:rPr>
              <w:t xml:space="preserve"> </w:t>
            </w:r>
            <w:proofErr w:type="spellStart"/>
            <w:r w:rsidRPr="00FB27D4">
              <w:rPr>
                <w:lang w:val="ru-UA"/>
              </w:rPr>
              <w:t>party</w:t>
            </w:r>
            <w:proofErr w:type="spellEnd"/>
            <w:r w:rsidRPr="00FB27D4">
              <w:rPr>
                <w:lang w:val="ru-UA"/>
              </w:rPr>
              <w:t>?</w:t>
            </w:r>
          </w:p>
        </w:tc>
        <w:tc>
          <w:tcPr>
            <w:tcW w:w="4553" w:type="dxa"/>
          </w:tcPr>
          <w:p w14:paraId="3563745A" w14:textId="39DC26C6" w:rsidR="004E1B6C" w:rsidRPr="00F519D5" w:rsidRDefault="00FB27D4" w:rsidP="00B062E5">
            <w:pPr>
              <w:spacing w:after="0" w:line="240" w:lineRule="auto"/>
              <w:jc w:val="both"/>
              <w:rPr>
                <w:rFonts w:cs="Calibri"/>
                <w:b/>
                <w:bCs/>
                <w:sz w:val="20"/>
                <w:szCs w:val="20"/>
                <w:lang w:val="uk-UA"/>
              </w:rPr>
            </w:pP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Грантовий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фонд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включає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тільки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гранти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(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кошти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,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що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перераховуються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за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грантовими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угодами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).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Усі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інші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витрати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включаються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в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адміністративні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витрати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,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що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не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мають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перевищувати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розміру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,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заявленого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у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технічному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завданні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–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організація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,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що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подає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заявку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самостійно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пропонує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наповнення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цієї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</w:t>
            </w:r>
            <w:proofErr w:type="spellStart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>частини</w:t>
            </w:r>
            <w:proofErr w:type="spellEnd"/>
            <w:r w:rsidRPr="00FB27D4">
              <w:rPr>
                <w:rFonts w:cs="Calibri"/>
                <w:b/>
                <w:bCs/>
                <w:sz w:val="20"/>
                <w:szCs w:val="20"/>
                <w:lang w:val="ru-UA"/>
              </w:rPr>
              <w:t xml:space="preserve"> бюджету.</w:t>
            </w:r>
          </w:p>
        </w:tc>
      </w:tr>
    </w:tbl>
    <w:p w14:paraId="20C72D43" w14:textId="77777777" w:rsidR="005A31F9" w:rsidRPr="00AC765A" w:rsidRDefault="005A31F9" w:rsidP="00D022D1">
      <w:pPr>
        <w:jc w:val="both"/>
        <w:rPr>
          <w:rFonts w:cs="Calibri"/>
          <w:caps/>
          <w:lang w:val="uk-UA"/>
        </w:rPr>
      </w:pPr>
      <w:bookmarkStart w:id="0" w:name="_GoBack"/>
      <w:bookmarkEnd w:id="0"/>
    </w:p>
    <w:sectPr w:rsidR="005A31F9" w:rsidRPr="00AC765A" w:rsidSect="006B31B3">
      <w:pgSz w:w="12240" w:h="15840"/>
      <w:pgMar w:top="540" w:right="850" w:bottom="850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2A24E5"/>
    <w:multiLevelType w:val="hybridMultilevel"/>
    <w:tmpl w:val="E55A63AE"/>
    <w:lvl w:ilvl="0" w:tplc="5E1CD2C8">
      <w:start w:val="169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6F548C"/>
    <w:multiLevelType w:val="hybridMultilevel"/>
    <w:tmpl w:val="6A6ABE12"/>
    <w:lvl w:ilvl="0" w:tplc="0422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168EF"/>
    <w:rsid w:val="00000D32"/>
    <w:rsid w:val="00001E7E"/>
    <w:rsid w:val="00004E2C"/>
    <w:rsid w:val="00007A33"/>
    <w:rsid w:val="00011A60"/>
    <w:rsid w:val="00020E0D"/>
    <w:rsid w:val="000276C2"/>
    <w:rsid w:val="00060C77"/>
    <w:rsid w:val="00061314"/>
    <w:rsid w:val="00064CBD"/>
    <w:rsid w:val="000B2819"/>
    <w:rsid w:val="000B3392"/>
    <w:rsid w:val="000D75A0"/>
    <w:rsid w:val="000D7A9F"/>
    <w:rsid w:val="000F25A4"/>
    <w:rsid w:val="000F762C"/>
    <w:rsid w:val="00124FD0"/>
    <w:rsid w:val="0013627B"/>
    <w:rsid w:val="001411C7"/>
    <w:rsid w:val="0014641C"/>
    <w:rsid w:val="00146645"/>
    <w:rsid w:val="00160360"/>
    <w:rsid w:val="001606DC"/>
    <w:rsid w:val="00161525"/>
    <w:rsid w:val="00164D80"/>
    <w:rsid w:val="001954A1"/>
    <w:rsid w:val="001B0F9C"/>
    <w:rsid w:val="001B175A"/>
    <w:rsid w:val="001B6225"/>
    <w:rsid w:val="001C39D5"/>
    <w:rsid w:val="001D1EAD"/>
    <w:rsid w:val="001D53E2"/>
    <w:rsid w:val="001E0A37"/>
    <w:rsid w:val="001E1894"/>
    <w:rsid w:val="001F07D1"/>
    <w:rsid w:val="00204C16"/>
    <w:rsid w:val="00234E18"/>
    <w:rsid w:val="0024006A"/>
    <w:rsid w:val="002461E2"/>
    <w:rsid w:val="0026068C"/>
    <w:rsid w:val="00270340"/>
    <w:rsid w:val="00282C57"/>
    <w:rsid w:val="00290382"/>
    <w:rsid w:val="0029322D"/>
    <w:rsid w:val="00296DAF"/>
    <w:rsid w:val="002A26AF"/>
    <w:rsid w:val="002A28FF"/>
    <w:rsid w:val="002A6740"/>
    <w:rsid w:val="002E3395"/>
    <w:rsid w:val="002F5705"/>
    <w:rsid w:val="002F7B39"/>
    <w:rsid w:val="003017B2"/>
    <w:rsid w:val="003025FB"/>
    <w:rsid w:val="0031173F"/>
    <w:rsid w:val="00326DA0"/>
    <w:rsid w:val="00350356"/>
    <w:rsid w:val="00361DF2"/>
    <w:rsid w:val="003633BC"/>
    <w:rsid w:val="003977AD"/>
    <w:rsid w:val="003A0D6E"/>
    <w:rsid w:val="003A1CC7"/>
    <w:rsid w:val="003E497F"/>
    <w:rsid w:val="003E7200"/>
    <w:rsid w:val="004012D7"/>
    <w:rsid w:val="004014B3"/>
    <w:rsid w:val="00417532"/>
    <w:rsid w:val="00420938"/>
    <w:rsid w:val="00443719"/>
    <w:rsid w:val="00443739"/>
    <w:rsid w:val="00451583"/>
    <w:rsid w:val="00470C55"/>
    <w:rsid w:val="004713CB"/>
    <w:rsid w:val="00482B2C"/>
    <w:rsid w:val="00485CB0"/>
    <w:rsid w:val="00494234"/>
    <w:rsid w:val="00497B99"/>
    <w:rsid w:val="004A5852"/>
    <w:rsid w:val="004B68E5"/>
    <w:rsid w:val="004B7931"/>
    <w:rsid w:val="004C12BE"/>
    <w:rsid w:val="004C25CA"/>
    <w:rsid w:val="004D0E67"/>
    <w:rsid w:val="004E1B6C"/>
    <w:rsid w:val="004F5345"/>
    <w:rsid w:val="004F5B49"/>
    <w:rsid w:val="004F7DF7"/>
    <w:rsid w:val="0050463D"/>
    <w:rsid w:val="005203E3"/>
    <w:rsid w:val="00524418"/>
    <w:rsid w:val="005262E9"/>
    <w:rsid w:val="00533A8D"/>
    <w:rsid w:val="005451A4"/>
    <w:rsid w:val="00550D15"/>
    <w:rsid w:val="00552BD4"/>
    <w:rsid w:val="00553CFF"/>
    <w:rsid w:val="0055666F"/>
    <w:rsid w:val="005653D0"/>
    <w:rsid w:val="0057263B"/>
    <w:rsid w:val="00584C1A"/>
    <w:rsid w:val="005A31F9"/>
    <w:rsid w:val="005B7673"/>
    <w:rsid w:val="005D513C"/>
    <w:rsid w:val="005E0AE3"/>
    <w:rsid w:val="00606598"/>
    <w:rsid w:val="0060681B"/>
    <w:rsid w:val="006216A2"/>
    <w:rsid w:val="00625A3C"/>
    <w:rsid w:val="00625E8C"/>
    <w:rsid w:val="0062696F"/>
    <w:rsid w:val="00637852"/>
    <w:rsid w:val="00637D4A"/>
    <w:rsid w:val="00644E3B"/>
    <w:rsid w:val="00654D5E"/>
    <w:rsid w:val="006559EE"/>
    <w:rsid w:val="00655A00"/>
    <w:rsid w:val="00661A09"/>
    <w:rsid w:val="00667E29"/>
    <w:rsid w:val="00673617"/>
    <w:rsid w:val="006753B5"/>
    <w:rsid w:val="006777CE"/>
    <w:rsid w:val="0069011B"/>
    <w:rsid w:val="006A2591"/>
    <w:rsid w:val="006B0EF4"/>
    <w:rsid w:val="006B31B3"/>
    <w:rsid w:val="006C3456"/>
    <w:rsid w:val="006C3E15"/>
    <w:rsid w:val="006E53A9"/>
    <w:rsid w:val="006E6933"/>
    <w:rsid w:val="00707949"/>
    <w:rsid w:val="00711C31"/>
    <w:rsid w:val="007137C2"/>
    <w:rsid w:val="007140B9"/>
    <w:rsid w:val="00721A6A"/>
    <w:rsid w:val="00723608"/>
    <w:rsid w:val="00723A5D"/>
    <w:rsid w:val="00724516"/>
    <w:rsid w:val="00736671"/>
    <w:rsid w:val="00737931"/>
    <w:rsid w:val="00746D05"/>
    <w:rsid w:val="007576F4"/>
    <w:rsid w:val="00762883"/>
    <w:rsid w:val="00767604"/>
    <w:rsid w:val="00786A12"/>
    <w:rsid w:val="00792A78"/>
    <w:rsid w:val="00794DFE"/>
    <w:rsid w:val="007A15CF"/>
    <w:rsid w:val="007A3370"/>
    <w:rsid w:val="007A3880"/>
    <w:rsid w:val="007A7D06"/>
    <w:rsid w:val="007B7D51"/>
    <w:rsid w:val="007C51EC"/>
    <w:rsid w:val="007C5549"/>
    <w:rsid w:val="007E4DB1"/>
    <w:rsid w:val="007F3D20"/>
    <w:rsid w:val="007F571C"/>
    <w:rsid w:val="0080163A"/>
    <w:rsid w:val="0080449C"/>
    <w:rsid w:val="008068A5"/>
    <w:rsid w:val="00813512"/>
    <w:rsid w:val="00814E76"/>
    <w:rsid w:val="008175C7"/>
    <w:rsid w:val="008301B3"/>
    <w:rsid w:val="008356D3"/>
    <w:rsid w:val="00841F40"/>
    <w:rsid w:val="00871436"/>
    <w:rsid w:val="00877DA4"/>
    <w:rsid w:val="0088312E"/>
    <w:rsid w:val="008A4CF7"/>
    <w:rsid w:val="008A6B5D"/>
    <w:rsid w:val="008C0CFA"/>
    <w:rsid w:val="008C10E6"/>
    <w:rsid w:val="008D47D2"/>
    <w:rsid w:val="008D5BE1"/>
    <w:rsid w:val="008F07AF"/>
    <w:rsid w:val="008F2DBE"/>
    <w:rsid w:val="0090184D"/>
    <w:rsid w:val="00910B9A"/>
    <w:rsid w:val="0091379A"/>
    <w:rsid w:val="009168EF"/>
    <w:rsid w:val="00921252"/>
    <w:rsid w:val="00931075"/>
    <w:rsid w:val="009429D7"/>
    <w:rsid w:val="009505E6"/>
    <w:rsid w:val="009564AA"/>
    <w:rsid w:val="00967277"/>
    <w:rsid w:val="00981763"/>
    <w:rsid w:val="009A210E"/>
    <w:rsid w:val="009A758E"/>
    <w:rsid w:val="009A77D3"/>
    <w:rsid w:val="009B0077"/>
    <w:rsid w:val="009B2F35"/>
    <w:rsid w:val="009B4FD3"/>
    <w:rsid w:val="009D0229"/>
    <w:rsid w:val="009D2BFE"/>
    <w:rsid w:val="009D30AF"/>
    <w:rsid w:val="009D6B61"/>
    <w:rsid w:val="009E5A7B"/>
    <w:rsid w:val="00A027A2"/>
    <w:rsid w:val="00A133EA"/>
    <w:rsid w:val="00A37515"/>
    <w:rsid w:val="00A46850"/>
    <w:rsid w:val="00A54ABA"/>
    <w:rsid w:val="00A568EA"/>
    <w:rsid w:val="00A67563"/>
    <w:rsid w:val="00A72D23"/>
    <w:rsid w:val="00A73E1C"/>
    <w:rsid w:val="00A90159"/>
    <w:rsid w:val="00AC4031"/>
    <w:rsid w:val="00AC765A"/>
    <w:rsid w:val="00AD2CE5"/>
    <w:rsid w:val="00AD60DD"/>
    <w:rsid w:val="00AE7165"/>
    <w:rsid w:val="00B0528E"/>
    <w:rsid w:val="00B05648"/>
    <w:rsid w:val="00B062E5"/>
    <w:rsid w:val="00B12B9F"/>
    <w:rsid w:val="00B1395E"/>
    <w:rsid w:val="00B220E2"/>
    <w:rsid w:val="00B33054"/>
    <w:rsid w:val="00B451DC"/>
    <w:rsid w:val="00B46677"/>
    <w:rsid w:val="00B50241"/>
    <w:rsid w:val="00B6008C"/>
    <w:rsid w:val="00B61CE6"/>
    <w:rsid w:val="00B6284A"/>
    <w:rsid w:val="00B73527"/>
    <w:rsid w:val="00B73C03"/>
    <w:rsid w:val="00B77948"/>
    <w:rsid w:val="00B85FDF"/>
    <w:rsid w:val="00B86B19"/>
    <w:rsid w:val="00B93382"/>
    <w:rsid w:val="00BA4512"/>
    <w:rsid w:val="00BB4391"/>
    <w:rsid w:val="00BC0416"/>
    <w:rsid w:val="00BC3B00"/>
    <w:rsid w:val="00BD5125"/>
    <w:rsid w:val="00BD547B"/>
    <w:rsid w:val="00BD5F0C"/>
    <w:rsid w:val="00BE2219"/>
    <w:rsid w:val="00BE3591"/>
    <w:rsid w:val="00C032CB"/>
    <w:rsid w:val="00C0341B"/>
    <w:rsid w:val="00C1013F"/>
    <w:rsid w:val="00C157E1"/>
    <w:rsid w:val="00C202F2"/>
    <w:rsid w:val="00C272C0"/>
    <w:rsid w:val="00C31AB2"/>
    <w:rsid w:val="00C34AA8"/>
    <w:rsid w:val="00C375C3"/>
    <w:rsid w:val="00C41AD3"/>
    <w:rsid w:val="00C50819"/>
    <w:rsid w:val="00C61EB0"/>
    <w:rsid w:val="00C74BFA"/>
    <w:rsid w:val="00C82393"/>
    <w:rsid w:val="00C93784"/>
    <w:rsid w:val="00C95FE2"/>
    <w:rsid w:val="00C97A7C"/>
    <w:rsid w:val="00CA3C88"/>
    <w:rsid w:val="00CB1789"/>
    <w:rsid w:val="00CB2409"/>
    <w:rsid w:val="00CB5C69"/>
    <w:rsid w:val="00CC5A63"/>
    <w:rsid w:val="00CC63A9"/>
    <w:rsid w:val="00CD3A65"/>
    <w:rsid w:val="00CE15E8"/>
    <w:rsid w:val="00CE46F9"/>
    <w:rsid w:val="00CF5A56"/>
    <w:rsid w:val="00D00DB8"/>
    <w:rsid w:val="00D022D1"/>
    <w:rsid w:val="00D05DD9"/>
    <w:rsid w:val="00D13711"/>
    <w:rsid w:val="00D14574"/>
    <w:rsid w:val="00D23117"/>
    <w:rsid w:val="00D53479"/>
    <w:rsid w:val="00D55437"/>
    <w:rsid w:val="00D56559"/>
    <w:rsid w:val="00D56765"/>
    <w:rsid w:val="00D726F4"/>
    <w:rsid w:val="00D732B6"/>
    <w:rsid w:val="00D853A3"/>
    <w:rsid w:val="00D86C0C"/>
    <w:rsid w:val="00DC0894"/>
    <w:rsid w:val="00DD0D89"/>
    <w:rsid w:val="00DE2D1C"/>
    <w:rsid w:val="00DF1B92"/>
    <w:rsid w:val="00DF3C70"/>
    <w:rsid w:val="00E03EA2"/>
    <w:rsid w:val="00E05CE6"/>
    <w:rsid w:val="00E12334"/>
    <w:rsid w:val="00E15966"/>
    <w:rsid w:val="00E213A7"/>
    <w:rsid w:val="00E311C0"/>
    <w:rsid w:val="00E42128"/>
    <w:rsid w:val="00E4492B"/>
    <w:rsid w:val="00E51696"/>
    <w:rsid w:val="00E675D2"/>
    <w:rsid w:val="00E80EC5"/>
    <w:rsid w:val="00E90101"/>
    <w:rsid w:val="00E92D27"/>
    <w:rsid w:val="00E946F5"/>
    <w:rsid w:val="00EA6664"/>
    <w:rsid w:val="00EB5BEC"/>
    <w:rsid w:val="00ED4252"/>
    <w:rsid w:val="00EE1518"/>
    <w:rsid w:val="00EE353B"/>
    <w:rsid w:val="00F053B9"/>
    <w:rsid w:val="00F16DE4"/>
    <w:rsid w:val="00F23928"/>
    <w:rsid w:val="00F2616F"/>
    <w:rsid w:val="00F2774E"/>
    <w:rsid w:val="00F35986"/>
    <w:rsid w:val="00F3764A"/>
    <w:rsid w:val="00F46B90"/>
    <w:rsid w:val="00F47C3E"/>
    <w:rsid w:val="00F50E11"/>
    <w:rsid w:val="00F519D5"/>
    <w:rsid w:val="00F718E7"/>
    <w:rsid w:val="00F73BB5"/>
    <w:rsid w:val="00F73E13"/>
    <w:rsid w:val="00F7418C"/>
    <w:rsid w:val="00F91FAC"/>
    <w:rsid w:val="00FA3F76"/>
    <w:rsid w:val="00FA40A1"/>
    <w:rsid w:val="00FB25CF"/>
    <w:rsid w:val="00FB27D4"/>
    <w:rsid w:val="00FC29A9"/>
    <w:rsid w:val="00FC46DD"/>
    <w:rsid w:val="00FC5608"/>
    <w:rsid w:val="00FD2B92"/>
    <w:rsid w:val="00FD4953"/>
    <w:rsid w:val="00FD4BB5"/>
    <w:rsid w:val="00FE3CAD"/>
    <w:rsid w:val="00FE6533"/>
    <w:rsid w:val="00FF0798"/>
    <w:rsid w:val="00FF7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2F2090"/>
  <w14:defaultImageDpi w14:val="0"/>
  <w15:docId w15:val="{464DEAC6-99A4-49C7-9D05-6E04F85B6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51583"/>
    <w:rPr>
      <w:rFonts w:cs="Times New Roman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451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Hyperlink">
    <w:name w:val="Hyperlink"/>
    <w:uiPriority w:val="99"/>
    <w:unhideWhenUsed/>
    <w:rsid w:val="0069011B"/>
    <w:rPr>
      <w:rFonts w:cs="Times New Roman"/>
      <w:color w:val="0563C1"/>
      <w:u w:val="single"/>
    </w:rPr>
  </w:style>
  <w:style w:type="character" w:styleId="Strong">
    <w:name w:val="Strong"/>
    <w:uiPriority w:val="22"/>
    <w:qFormat/>
    <w:rsid w:val="00C202F2"/>
    <w:rPr>
      <w:rFonts w:cs="Times New Roman"/>
      <w:b/>
    </w:rPr>
  </w:style>
  <w:style w:type="character" w:customStyle="1" w:styleId="BalloonTextChar">
    <w:name w:val="Balloon Text Char"/>
    <w:link w:val="BalloonText"/>
    <w:uiPriority w:val="99"/>
    <w:semiHidden/>
    <w:locked/>
    <w:rsid w:val="005451A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7A15CF"/>
    <w:pPr>
      <w:tabs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styleId="CommentReference">
    <w:name w:val="annotation reference"/>
    <w:uiPriority w:val="99"/>
    <w:semiHidden/>
    <w:unhideWhenUsed/>
    <w:rsid w:val="00BE221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2219"/>
    <w:rPr>
      <w:sz w:val="20"/>
      <w:szCs w:val="20"/>
    </w:rPr>
  </w:style>
  <w:style w:type="character" w:customStyle="1" w:styleId="CommentSubjectChar2">
    <w:name w:val="Comment Subject Char2"/>
    <w:link w:val="CommentSubject"/>
    <w:uiPriority w:val="99"/>
    <w:semiHidden/>
    <w:locked/>
    <w:rsid w:val="00BE2219"/>
    <w:rPr>
      <w:rFonts w:cs="Times New Roman"/>
      <w:b/>
      <w:bCs/>
      <w:lang w:val="en-US" w:eastAsia="en-US"/>
    </w:rPr>
  </w:style>
  <w:style w:type="character" w:customStyle="1" w:styleId="HeaderChar">
    <w:name w:val="Header Char"/>
    <w:link w:val="Header"/>
    <w:uiPriority w:val="99"/>
    <w:locked/>
    <w:rsid w:val="007A15CF"/>
    <w:rPr>
      <w:rFonts w:ascii="Times New Roman" w:hAnsi="Times New Roman" w:cs="Times New Roman"/>
      <w:lang w:val="en-US" w:eastAsia="en-US"/>
    </w:rPr>
  </w:style>
  <w:style w:type="character" w:customStyle="1" w:styleId="CommentTextChar">
    <w:name w:val="Comment Text Char"/>
    <w:link w:val="CommentText"/>
    <w:uiPriority w:val="99"/>
    <w:semiHidden/>
    <w:locked/>
    <w:rsid w:val="00BE2219"/>
    <w:rPr>
      <w:rFonts w:cs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2"/>
    <w:uiPriority w:val="99"/>
    <w:semiHidden/>
    <w:unhideWhenUsed/>
    <w:rsid w:val="00BE2219"/>
    <w:rPr>
      <w:b/>
      <w:bCs/>
    </w:rPr>
  </w:style>
  <w:style w:type="character" w:customStyle="1" w:styleId="CommentSubjectChar">
    <w:name w:val="Comment Subject Char"/>
    <w:uiPriority w:val="99"/>
    <w:semiHidden/>
    <w:rPr>
      <w:rFonts w:cs="Times New Roman"/>
      <w:b/>
      <w:bCs/>
      <w:lang w:val="en-US" w:eastAsia="en-US"/>
    </w:rPr>
  </w:style>
  <w:style w:type="character" w:customStyle="1" w:styleId="a">
    <w:name w:val="Тема примечания Знак"/>
    <w:uiPriority w:val="99"/>
    <w:semiHidden/>
    <w:rPr>
      <w:rFonts w:cs="Times New Roman"/>
      <w:b/>
      <w:bCs/>
      <w:lang w:val="en-US" w:eastAsia="en-US"/>
    </w:rPr>
  </w:style>
  <w:style w:type="character" w:customStyle="1" w:styleId="CommentSubjectChar1">
    <w:name w:val="Comment Subject Char1"/>
    <w:uiPriority w:val="99"/>
    <w:semiHidden/>
    <w:rPr>
      <w:rFonts w:cs="Times New Roman"/>
      <w:b/>
      <w:bCs/>
      <w:lang w:val="en-US" w:eastAsia="en-US"/>
    </w:rPr>
  </w:style>
  <w:style w:type="paragraph" w:customStyle="1" w:styleId="xmsonormal">
    <w:name w:val="x_msonormal"/>
    <w:basedOn w:val="Normal"/>
    <w:rsid w:val="00161525"/>
    <w:pPr>
      <w:spacing w:after="0" w:line="240" w:lineRule="auto"/>
    </w:pPr>
    <w:rPr>
      <w:rFonts w:cs="Calibri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986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6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6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6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98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98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986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986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986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986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3986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3986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3986884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39868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3986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04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43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971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237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019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164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6574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7142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4817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7988094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92687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3275</Words>
  <Characters>1868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Oksana Baginska</cp:lastModifiedBy>
  <cp:revision>6</cp:revision>
  <cp:lastPrinted>2019-12-10T16:22:00Z</cp:lastPrinted>
  <dcterms:created xsi:type="dcterms:W3CDTF">2019-12-10T16:22:00Z</dcterms:created>
  <dcterms:modified xsi:type="dcterms:W3CDTF">2020-03-03T15:40:00Z</dcterms:modified>
</cp:coreProperties>
</file>