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5023"/>
      </w:tblGrid>
      <w:tr w:rsidR="000004D1" w14:paraId="0213E2B1" w14:textId="77777777" w:rsidTr="000004D1">
        <w:tc>
          <w:tcPr>
            <w:tcW w:w="4219" w:type="dxa"/>
            <w:vAlign w:val="center"/>
          </w:tcPr>
          <w:p w14:paraId="02E4644B" w14:textId="77777777" w:rsidR="000004D1" w:rsidRDefault="000004D1" w:rsidP="000004D1">
            <w:pPr>
              <w:spacing w:after="60"/>
              <w:rPr>
                <w:rFonts w:asciiTheme="majorBidi" w:hAnsiTheme="majorBidi" w:cstheme="majorBidi"/>
                <w:noProof/>
                <w:lang w:eastAsia="en-GB"/>
              </w:rPr>
            </w:pPr>
            <w:r>
              <w:rPr>
                <w:rFonts w:asciiTheme="majorBidi" w:hAnsiTheme="majorBidi" w:cstheme="majorBidi"/>
                <w:noProof/>
                <w:lang w:val="en-US" w:eastAsia="zh-CN"/>
              </w:rPr>
              <w:drawing>
                <wp:inline distT="0" distB="0" distL="0" distR="0" wp14:anchorId="488B92CD" wp14:editId="2D8B8E3A">
                  <wp:extent cx="1724188" cy="54346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25375" cy="543839"/>
                          </a:xfrm>
                          <a:prstGeom prst="rect">
                            <a:avLst/>
                          </a:prstGeom>
                        </pic:spPr>
                      </pic:pic>
                    </a:graphicData>
                  </a:graphic>
                </wp:inline>
              </w:drawing>
            </w:r>
          </w:p>
        </w:tc>
        <w:tc>
          <w:tcPr>
            <w:tcW w:w="5023" w:type="dxa"/>
            <w:vAlign w:val="center"/>
          </w:tcPr>
          <w:p w14:paraId="0EE8550F" w14:textId="77777777" w:rsidR="000004D1" w:rsidRPr="000004D1" w:rsidRDefault="000004D1" w:rsidP="000004D1">
            <w:pPr>
              <w:spacing w:after="60"/>
              <w:rPr>
                <w:rFonts w:cstheme="minorHAnsi"/>
                <w:b/>
                <w:bCs/>
                <w:noProof/>
                <w:sz w:val="36"/>
                <w:szCs w:val="36"/>
                <w:lang w:eastAsia="en-GB"/>
              </w:rPr>
            </w:pPr>
            <w:r w:rsidRPr="000004D1">
              <w:rPr>
                <w:rFonts w:cstheme="minorHAnsi"/>
                <w:b/>
                <w:bCs/>
                <w:noProof/>
                <w:sz w:val="36"/>
                <w:szCs w:val="36"/>
                <w:lang w:eastAsia="en-GB"/>
              </w:rPr>
              <w:t>CONSULTANCY</w:t>
            </w:r>
          </w:p>
        </w:tc>
      </w:tr>
    </w:tbl>
    <w:p w14:paraId="4FEC5A4B" w14:textId="00C20D22" w:rsidR="000004D1" w:rsidRDefault="000004D1" w:rsidP="000004D1">
      <w:pPr>
        <w:spacing w:after="60" w:line="240" w:lineRule="auto"/>
        <w:jc w:val="center"/>
        <w:rPr>
          <w:b/>
          <w:bCs/>
          <w:sz w:val="16"/>
          <w:szCs w:val="16"/>
        </w:rPr>
      </w:pPr>
    </w:p>
    <w:p w14:paraId="2F7E7C96" w14:textId="77777777" w:rsidR="00973290" w:rsidRPr="000004D1" w:rsidRDefault="00973290" w:rsidP="000004D1">
      <w:pPr>
        <w:spacing w:after="60" w:line="240" w:lineRule="auto"/>
        <w:jc w:val="center"/>
        <w:rPr>
          <w:b/>
          <w:bCs/>
          <w:sz w:val="16"/>
          <w:szCs w:val="16"/>
        </w:rPr>
      </w:pPr>
    </w:p>
    <w:p w14:paraId="3950DFB7" w14:textId="3E637AB5" w:rsidR="00E81621" w:rsidRDefault="00CC1FFC" w:rsidP="00E81621">
      <w:pPr>
        <w:spacing w:after="60" w:line="240" w:lineRule="auto"/>
        <w:jc w:val="center"/>
        <w:rPr>
          <w:b/>
          <w:bCs/>
          <w:sz w:val="36"/>
          <w:szCs w:val="36"/>
        </w:rPr>
      </w:pPr>
      <w:r>
        <w:rPr>
          <w:b/>
          <w:bCs/>
          <w:sz w:val="36"/>
          <w:szCs w:val="36"/>
          <w:u w:val="single"/>
        </w:rPr>
        <w:t>Draft</w:t>
      </w:r>
      <w:r w:rsidR="000004D1" w:rsidRPr="00E81621">
        <w:rPr>
          <w:b/>
          <w:bCs/>
          <w:sz w:val="36"/>
          <w:szCs w:val="36"/>
        </w:rPr>
        <w:t xml:space="preserve"> </w:t>
      </w:r>
      <w:r w:rsidR="000004D1" w:rsidRPr="000004D1">
        <w:rPr>
          <w:b/>
          <w:bCs/>
          <w:sz w:val="36"/>
          <w:szCs w:val="36"/>
        </w:rPr>
        <w:t>Terms of Reference</w:t>
      </w:r>
    </w:p>
    <w:p w14:paraId="6EA3529C" w14:textId="77777777" w:rsidR="00E81621" w:rsidRPr="00E81621" w:rsidRDefault="00E81621" w:rsidP="00E81621">
      <w:pPr>
        <w:spacing w:after="60" w:line="240" w:lineRule="auto"/>
        <w:jc w:val="center"/>
        <w:rPr>
          <w:rFonts w:eastAsia="MS Mincho" w:cstheme="minorHAnsi"/>
          <w:color w:val="A6A6A6" w:themeColor="background1" w:themeShade="A6"/>
          <w:spacing w:val="-10"/>
        </w:rPr>
      </w:pPr>
      <w:r w:rsidRPr="00E81621">
        <w:rPr>
          <w:rFonts w:eastAsia="MS Mincho" w:cstheme="minorHAnsi"/>
          <w:color w:val="A6A6A6" w:themeColor="background1" w:themeShade="A6"/>
          <w:spacing w:val="-10"/>
        </w:rPr>
        <w:t>To</w:t>
      </w:r>
      <w:r>
        <w:rPr>
          <w:rFonts w:eastAsia="MS Mincho" w:cstheme="minorHAnsi"/>
          <w:color w:val="A6A6A6" w:themeColor="background1" w:themeShade="A6"/>
          <w:spacing w:val="-10"/>
        </w:rPr>
        <w:t xml:space="preserve"> be signed &amp;</w:t>
      </w:r>
      <w:r w:rsidRPr="00E81621">
        <w:rPr>
          <w:rFonts w:eastAsia="MS Mincho" w:cstheme="minorHAnsi"/>
          <w:color w:val="A6A6A6" w:themeColor="background1" w:themeShade="A6"/>
          <w:spacing w:val="-10"/>
        </w:rPr>
        <w:t xml:space="preserve"> upload</w:t>
      </w:r>
      <w:r>
        <w:rPr>
          <w:rFonts w:eastAsia="MS Mincho" w:cstheme="minorHAnsi"/>
          <w:color w:val="A6A6A6" w:themeColor="background1" w:themeShade="A6"/>
          <w:spacing w:val="-10"/>
        </w:rPr>
        <w:t>ed</w:t>
      </w:r>
      <w:r w:rsidRPr="00E81621">
        <w:rPr>
          <w:rFonts w:eastAsia="MS Mincho" w:cstheme="minorHAnsi"/>
          <w:color w:val="A6A6A6" w:themeColor="background1" w:themeShade="A6"/>
          <w:spacing w:val="-10"/>
        </w:rPr>
        <w:t xml:space="preserve"> as </w:t>
      </w:r>
      <w:r w:rsidRPr="00E81621">
        <w:rPr>
          <w:rFonts w:eastAsia="MS Mincho" w:cstheme="minorHAnsi"/>
          <w:b/>
          <w:bCs/>
          <w:color w:val="A6A6A6" w:themeColor="background1" w:themeShade="A6"/>
          <w:spacing w:val="-10"/>
        </w:rPr>
        <w:t>Contractual</w:t>
      </w:r>
      <w:r w:rsidRPr="00E81621">
        <w:rPr>
          <w:rFonts w:eastAsia="MS Mincho" w:cstheme="minorHAnsi"/>
          <w:color w:val="A6A6A6" w:themeColor="background1" w:themeShade="A6"/>
          <w:spacing w:val="-10"/>
        </w:rPr>
        <w:t xml:space="preserve"> - Terms of reference in GSM/Manage documents</w:t>
      </w:r>
    </w:p>
    <w:p w14:paraId="0AA5106E" w14:textId="77777777" w:rsidR="000004D1" w:rsidRDefault="00E81621" w:rsidP="00E81621">
      <w:pPr>
        <w:pBdr>
          <w:bottom w:val="single" w:sz="4" w:space="1" w:color="auto"/>
        </w:pBdr>
        <w:tabs>
          <w:tab w:val="left" w:pos="5875"/>
        </w:tabs>
        <w:spacing w:after="60" w:line="240" w:lineRule="auto"/>
        <w:rPr>
          <w:b/>
          <w:bCs/>
        </w:rPr>
      </w:pPr>
      <w:r>
        <w:rPr>
          <w:b/>
          <w:bCs/>
        </w:rPr>
        <w:tab/>
      </w:r>
    </w:p>
    <w:p w14:paraId="70385315" w14:textId="77777777" w:rsidR="000004D1" w:rsidRPr="003A7796" w:rsidRDefault="00D14B2D" w:rsidP="000004D1">
      <w:pPr>
        <w:spacing w:after="60" w:line="240" w:lineRule="auto"/>
        <w:rPr>
          <w:rFonts w:eastAsia="MS Gothic" w:cstheme="minorHAnsi"/>
        </w:rPr>
      </w:pPr>
      <w:r>
        <w:rPr>
          <w:rFonts w:eastAsia="MS Gothic" w:cstheme="minorHAnsi"/>
        </w:rPr>
        <w:t xml:space="preserve">The </w:t>
      </w:r>
      <w:r w:rsidRPr="003A7796">
        <w:rPr>
          <w:rFonts w:eastAsia="MS Gothic" w:cstheme="minorHAnsi"/>
        </w:rPr>
        <w:t>consultancy is ordered</w:t>
      </w:r>
      <w:r w:rsidR="000004D1" w:rsidRPr="003A7796">
        <w:rPr>
          <w:rFonts w:eastAsia="MS Gothic" w:cstheme="minorHAnsi"/>
        </w:rPr>
        <w:t xml:space="preserve"> by:</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526"/>
        <w:gridCol w:w="7716"/>
      </w:tblGrid>
      <w:tr w:rsidR="001A3E9F" w:rsidRPr="003A7796" w14:paraId="1CD046CC" w14:textId="77777777" w:rsidTr="000004D1">
        <w:tc>
          <w:tcPr>
            <w:tcW w:w="1526" w:type="dxa"/>
          </w:tcPr>
          <w:p w14:paraId="3BD84E55" w14:textId="407ACAF0" w:rsidR="001A3E9F" w:rsidRPr="003A7796" w:rsidRDefault="001A3E9F" w:rsidP="001A3E9F">
            <w:pPr>
              <w:spacing w:after="60"/>
              <w:rPr>
                <w:rFonts w:cstheme="minorHAnsi"/>
                <w:sz w:val="20"/>
                <w:szCs w:val="20"/>
              </w:rPr>
            </w:pPr>
            <w:r w:rsidRPr="00116A84">
              <w:rPr>
                <w:rFonts w:cstheme="minorHAnsi"/>
                <w:sz w:val="20"/>
                <w:szCs w:val="20"/>
              </w:rPr>
              <w:t>Unit:</w:t>
            </w:r>
          </w:p>
        </w:tc>
        <w:tc>
          <w:tcPr>
            <w:tcW w:w="7716" w:type="dxa"/>
          </w:tcPr>
          <w:p w14:paraId="7441D689" w14:textId="380708F7" w:rsidR="001A3E9F" w:rsidRPr="003A7796" w:rsidRDefault="001A3E9F" w:rsidP="001A3E9F">
            <w:pPr>
              <w:tabs>
                <w:tab w:val="left" w:pos="520"/>
              </w:tabs>
              <w:spacing w:after="60"/>
              <w:rPr>
                <w:rFonts w:cstheme="minorHAnsi"/>
                <w:sz w:val="20"/>
                <w:szCs w:val="20"/>
              </w:rPr>
            </w:pPr>
            <w:r>
              <w:rPr>
                <w:rFonts w:cstheme="minorHAnsi"/>
                <w:sz w:val="20"/>
                <w:szCs w:val="20"/>
              </w:rPr>
              <w:t>Impact Initiatives and Research and Coordination (IRC)</w:t>
            </w:r>
          </w:p>
        </w:tc>
      </w:tr>
      <w:tr w:rsidR="001A3E9F" w:rsidRPr="00116A84" w14:paraId="75F8679F" w14:textId="77777777" w:rsidTr="003A7796">
        <w:trPr>
          <w:trHeight w:val="56"/>
        </w:trPr>
        <w:tc>
          <w:tcPr>
            <w:tcW w:w="1526" w:type="dxa"/>
          </w:tcPr>
          <w:p w14:paraId="7D38D1DA" w14:textId="0A139CDC" w:rsidR="001A3E9F" w:rsidRPr="003A7796" w:rsidRDefault="001A3E9F" w:rsidP="001A3E9F">
            <w:pPr>
              <w:spacing w:after="60"/>
              <w:rPr>
                <w:rFonts w:cstheme="minorHAnsi"/>
                <w:sz w:val="20"/>
                <w:szCs w:val="20"/>
              </w:rPr>
            </w:pPr>
            <w:r w:rsidRPr="00116A84">
              <w:rPr>
                <w:rFonts w:cstheme="minorHAnsi"/>
                <w:sz w:val="20"/>
                <w:szCs w:val="20"/>
              </w:rPr>
              <w:t>Department:</w:t>
            </w:r>
          </w:p>
        </w:tc>
        <w:tc>
          <w:tcPr>
            <w:tcW w:w="7716" w:type="dxa"/>
          </w:tcPr>
          <w:p w14:paraId="07D79EEC" w14:textId="0B58CDB4" w:rsidR="001A3E9F" w:rsidRPr="003A7796" w:rsidRDefault="001A3E9F" w:rsidP="001A3E9F">
            <w:pPr>
              <w:spacing w:after="60"/>
              <w:rPr>
                <w:rFonts w:cstheme="minorHAnsi"/>
                <w:sz w:val="20"/>
                <w:szCs w:val="20"/>
              </w:rPr>
            </w:pPr>
            <w:r>
              <w:rPr>
                <w:rFonts w:cstheme="minorHAnsi"/>
                <w:sz w:val="20"/>
                <w:szCs w:val="20"/>
              </w:rPr>
              <w:t>Global Coordination and Partnership (GCP)</w:t>
            </w:r>
          </w:p>
        </w:tc>
      </w:tr>
    </w:tbl>
    <w:p w14:paraId="55AC3F30" w14:textId="77777777" w:rsidR="000004D1" w:rsidRDefault="000004D1" w:rsidP="000004D1">
      <w:pPr>
        <w:spacing w:after="60" w:line="240" w:lineRule="auto"/>
        <w:rPr>
          <w:rFonts w:cstheme="minorHAnsi"/>
        </w:rPr>
      </w:pPr>
    </w:p>
    <w:p w14:paraId="4C00FB2A" w14:textId="77777777" w:rsidR="000004D1" w:rsidRPr="000004D1" w:rsidRDefault="00DD12DB" w:rsidP="000004D1">
      <w:pPr>
        <w:pStyle w:val="ListParagraph"/>
        <w:numPr>
          <w:ilvl w:val="0"/>
          <w:numId w:val="1"/>
        </w:numPr>
        <w:spacing w:after="60" w:line="240" w:lineRule="auto"/>
        <w:rPr>
          <w:rFonts w:cstheme="minorHAnsi"/>
          <w:b/>
          <w:bCs/>
        </w:rPr>
      </w:pPr>
      <w:r>
        <w:rPr>
          <w:rFonts w:cstheme="minorHAnsi"/>
          <w:b/>
          <w:bCs/>
        </w:rPr>
        <w:t>Purpose of the Consultancy</w:t>
      </w:r>
    </w:p>
    <w:p w14:paraId="480D6D6D" w14:textId="77777777" w:rsidR="001A3E9F" w:rsidRPr="001A3E9F" w:rsidRDefault="001A3E9F" w:rsidP="001A3E9F">
      <w:pPr>
        <w:rPr>
          <w:rFonts w:cstheme="minorHAnsi"/>
        </w:rPr>
      </w:pPr>
      <w:r w:rsidRPr="001A3E9F">
        <w:rPr>
          <w:rFonts w:cstheme="minorHAnsi"/>
          <w:sz w:val="20"/>
          <w:szCs w:val="20"/>
        </w:rPr>
        <w:t xml:space="preserve">To support the IRC unit in the implementation of the </w:t>
      </w:r>
      <w:r w:rsidRPr="001A3E9F">
        <w:rPr>
          <w:rFonts w:cstheme="minorHAnsi"/>
          <w:i/>
          <w:iCs/>
          <w:sz w:val="20"/>
          <w:szCs w:val="20"/>
        </w:rPr>
        <w:t>Global Action Plan</w:t>
      </w:r>
      <w:r w:rsidRPr="001A3E9F">
        <w:rPr>
          <w:rFonts w:cstheme="minorHAnsi"/>
          <w:sz w:val="20"/>
          <w:szCs w:val="20"/>
        </w:rPr>
        <w:t xml:space="preserve"> on Antimicrobial Resistance by guiding the data collection and preparation of the advisory group meeting for two subsequent updates of the WHO antibacterial clinical pipeline analysis in 2020 and 2021 respectively.</w:t>
      </w:r>
    </w:p>
    <w:p w14:paraId="7C243DDC" w14:textId="77777777" w:rsidR="00E81621" w:rsidRDefault="00E81621" w:rsidP="00E81621">
      <w:pPr>
        <w:pStyle w:val="ListParagraph"/>
        <w:numPr>
          <w:ilvl w:val="0"/>
          <w:numId w:val="1"/>
        </w:numPr>
        <w:spacing w:after="60" w:line="240" w:lineRule="auto"/>
        <w:rPr>
          <w:rFonts w:cstheme="minorHAnsi"/>
          <w:b/>
          <w:bCs/>
        </w:rPr>
      </w:pPr>
      <w:r>
        <w:rPr>
          <w:rFonts w:cstheme="minorHAnsi"/>
          <w:b/>
          <w:bCs/>
        </w:rPr>
        <w:t>Consultant’s Name</w:t>
      </w:r>
    </w:p>
    <w:p w14:paraId="092BA4B9" w14:textId="20099A17" w:rsidR="00E81621" w:rsidRPr="001A3E9F" w:rsidRDefault="001A3E9F" w:rsidP="00F35861">
      <w:pPr>
        <w:rPr>
          <w:rFonts w:cstheme="majorBidi"/>
          <w:sz w:val="20"/>
        </w:rPr>
      </w:pPr>
      <w:r w:rsidRPr="001A3E9F">
        <w:rPr>
          <w:rFonts w:cstheme="minorHAnsi"/>
          <w:sz w:val="20"/>
        </w:rPr>
        <w:t>TBD</w:t>
      </w:r>
    </w:p>
    <w:p w14:paraId="6A5AF79D" w14:textId="77777777" w:rsidR="000004D1" w:rsidRDefault="00DD12DB" w:rsidP="000004D1">
      <w:pPr>
        <w:pStyle w:val="ListParagraph"/>
        <w:numPr>
          <w:ilvl w:val="0"/>
          <w:numId w:val="1"/>
        </w:numPr>
        <w:spacing w:after="60" w:line="240" w:lineRule="auto"/>
        <w:rPr>
          <w:rFonts w:cstheme="minorHAnsi"/>
          <w:b/>
          <w:bCs/>
        </w:rPr>
      </w:pPr>
      <w:r>
        <w:rPr>
          <w:rFonts w:cstheme="minorHAnsi"/>
          <w:b/>
          <w:bCs/>
        </w:rPr>
        <w:t>Background</w:t>
      </w:r>
    </w:p>
    <w:p w14:paraId="5F55F376" w14:textId="77777777" w:rsidR="001A3E9F" w:rsidRPr="001A3E9F" w:rsidRDefault="001A3E9F" w:rsidP="001A3E9F">
      <w:pPr>
        <w:shd w:val="clear" w:color="auto" w:fill="FFFFFF"/>
        <w:ind w:right="300"/>
        <w:textAlignment w:val="baseline"/>
        <w:rPr>
          <w:rFonts w:cstheme="minorHAnsi"/>
          <w:sz w:val="20"/>
          <w:szCs w:val="20"/>
        </w:rPr>
      </w:pPr>
      <w:r w:rsidRPr="001A3E9F">
        <w:rPr>
          <w:sz w:val="20"/>
          <w:szCs w:val="20"/>
          <w:lang w:eastAsia="x-none"/>
        </w:rPr>
        <w:t>Antimicrobials resistance is a global public health threat, acknowledged through t</w:t>
      </w:r>
      <w:r w:rsidRPr="001A3E9F">
        <w:rPr>
          <w:sz w:val="20"/>
          <w:szCs w:val="20"/>
        </w:rPr>
        <w:t>he endorsement of the Global Action Plan on antimicrobial resistance (AMR)</w:t>
      </w:r>
      <w:r w:rsidRPr="00511433">
        <w:rPr>
          <w:rStyle w:val="FootnoteReference"/>
          <w:sz w:val="20"/>
          <w:szCs w:val="20"/>
        </w:rPr>
        <w:footnoteReference w:id="1"/>
      </w:r>
      <w:r w:rsidRPr="001A3E9F">
        <w:rPr>
          <w:sz w:val="20"/>
          <w:szCs w:val="20"/>
        </w:rPr>
        <w:t xml:space="preserve"> by the World Health Assembly (resolution WHA68.7) on May 2015, the Political Declaration of the high-level meeting of the General Assembly on AMR</w:t>
      </w:r>
      <w:r w:rsidRPr="00511433">
        <w:rPr>
          <w:rStyle w:val="FootnoteReference"/>
          <w:sz w:val="20"/>
          <w:szCs w:val="20"/>
        </w:rPr>
        <w:footnoteReference w:id="2"/>
      </w:r>
      <w:r w:rsidRPr="001A3E9F">
        <w:rPr>
          <w:sz w:val="20"/>
          <w:szCs w:val="20"/>
        </w:rPr>
        <w:t xml:space="preserve"> in September 2017 as well as the report of the UN Interagency Coordination Group (IACG) on Antimicrobial Resistance</w:t>
      </w:r>
      <w:r w:rsidRPr="00511433">
        <w:rPr>
          <w:rStyle w:val="FootnoteReference"/>
          <w:sz w:val="20"/>
          <w:szCs w:val="20"/>
        </w:rPr>
        <w:footnoteReference w:id="3"/>
      </w:r>
      <w:r w:rsidRPr="001A3E9F">
        <w:rPr>
          <w:rFonts w:cstheme="minorHAnsi"/>
          <w:sz w:val="20"/>
          <w:szCs w:val="20"/>
        </w:rPr>
        <w:t xml:space="preserve">. </w:t>
      </w:r>
    </w:p>
    <w:p w14:paraId="7F69DE7B" w14:textId="4620855B" w:rsidR="001A3E9F" w:rsidRPr="001A3E9F" w:rsidRDefault="001A3E9F" w:rsidP="001A3E9F">
      <w:pPr>
        <w:shd w:val="clear" w:color="auto" w:fill="FFFFFF"/>
        <w:ind w:right="300"/>
        <w:textAlignment w:val="baseline"/>
        <w:rPr>
          <w:rFonts w:cs="Helvetica"/>
          <w:sz w:val="20"/>
          <w:szCs w:val="20"/>
        </w:rPr>
      </w:pPr>
      <w:r w:rsidRPr="001A3E9F">
        <w:rPr>
          <w:rFonts w:cstheme="minorHAnsi"/>
          <w:sz w:val="20"/>
          <w:szCs w:val="20"/>
        </w:rPr>
        <w:t xml:space="preserve">Objective five of the Global Action Plan </w:t>
      </w:r>
      <w:r w:rsidRPr="001A3E9F">
        <w:rPr>
          <w:sz w:val="20"/>
          <w:szCs w:val="20"/>
        </w:rPr>
        <w:t>is to develop the economic case for sustainable investment that takes account of the needs of all countries and increases investment in new medicines, diagnostic tools, vaccines</w:t>
      </w:r>
      <w:r w:rsidR="007C4E3D">
        <w:rPr>
          <w:sz w:val="20"/>
          <w:szCs w:val="20"/>
        </w:rPr>
        <w:t>,</w:t>
      </w:r>
      <w:r w:rsidRPr="001A3E9F">
        <w:rPr>
          <w:sz w:val="20"/>
          <w:szCs w:val="20"/>
        </w:rPr>
        <w:t xml:space="preserve"> and other interventions. Further political commitments to implement the global action plan and foster R&amp;D of new antibiotics was shown at the United Nations General Assembly at its Seventy-First Session in 2016 at a high-level meeting on antimicrobial resistance and more recently in 2017 at the meeting of the Group of 20. In response, on September 2017, WHO released the priority pathogens list including TB to prioritize R&amp;D efforts for new. Coupled with this report, the WHO undertook the first global analysis of a</w:t>
      </w:r>
      <w:r w:rsidRPr="001A3E9F">
        <w:rPr>
          <w:rFonts w:cs="Helvetica"/>
          <w:sz w:val="20"/>
          <w:szCs w:val="20"/>
        </w:rPr>
        <w:t>ntibacterial agents in clinical development in 2017 and subsequently update this annually. In 2019, for the first time reviewed the preclinical antibacterial pipeline, which will also be updated regularly.</w:t>
      </w:r>
    </w:p>
    <w:p w14:paraId="5E2B90EA" w14:textId="27104DBC" w:rsidR="00F35861" w:rsidRDefault="001A3E9F" w:rsidP="00274603">
      <w:pPr>
        <w:shd w:val="clear" w:color="auto" w:fill="FFFFFF"/>
        <w:ind w:right="300"/>
        <w:textAlignment w:val="baseline"/>
        <w:rPr>
          <w:rFonts w:cstheme="minorHAnsi"/>
          <w:sz w:val="20"/>
          <w:szCs w:val="20"/>
        </w:rPr>
      </w:pPr>
      <w:r w:rsidRPr="00274603">
        <w:rPr>
          <w:rFonts w:cstheme="minorHAnsi"/>
          <w:sz w:val="20"/>
          <w:szCs w:val="20"/>
        </w:rPr>
        <w:t>The annual updates of the pipeline analysis aim to assess the robustness of the clinical pipeline overtime against the priority pathogens and TB to facilitate further priority setting for R&amp;D of new therapeutic options. To facilitate two annual updates of the antibacterial clinical pipeline as well as to advise the preclinical pipeline, it is proposed to hire a consultant on a part-time basis to support data collection, analysis and the preparation of two advisory group meetings (2020 and 2021). The data from the updated analysis will feed into the WHO Global Observatory on Health Research and Development (R&amp;D)</w:t>
      </w:r>
      <w:r w:rsidR="00F35861" w:rsidRPr="00274603">
        <w:rPr>
          <w:rFonts w:cstheme="minorHAnsi"/>
          <w:sz w:val="20"/>
          <w:szCs w:val="20"/>
        </w:rPr>
        <w:t>.</w:t>
      </w:r>
    </w:p>
    <w:p w14:paraId="2E017C61" w14:textId="0A0D67AA" w:rsidR="00274603" w:rsidRDefault="00274603" w:rsidP="00274603">
      <w:pPr>
        <w:shd w:val="clear" w:color="auto" w:fill="FFFFFF"/>
        <w:ind w:right="300"/>
        <w:textAlignment w:val="baseline"/>
        <w:rPr>
          <w:rFonts w:cstheme="minorHAnsi"/>
          <w:sz w:val="20"/>
          <w:szCs w:val="20"/>
        </w:rPr>
      </w:pPr>
    </w:p>
    <w:p w14:paraId="3F4E90BE" w14:textId="77777777" w:rsidR="00274603" w:rsidRPr="00274603" w:rsidRDefault="00274603" w:rsidP="00274603">
      <w:pPr>
        <w:shd w:val="clear" w:color="auto" w:fill="FFFFFF"/>
        <w:ind w:right="300"/>
        <w:textAlignment w:val="baseline"/>
        <w:rPr>
          <w:rFonts w:cstheme="minorHAnsi"/>
          <w:sz w:val="20"/>
          <w:szCs w:val="20"/>
        </w:rPr>
      </w:pPr>
    </w:p>
    <w:p w14:paraId="58C35507" w14:textId="12A94B45" w:rsidR="00C61288" w:rsidRPr="00ED5F55" w:rsidRDefault="00DD12DB" w:rsidP="00F35861">
      <w:pPr>
        <w:pStyle w:val="ListParagraph"/>
        <w:numPr>
          <w:ilvl w:val="0"/>
          <w:numId w:val="1"/>
        </w:numPr>
        <w:spacing w:after="60" w:line="240" w:lineRule="auto"/>
        <w:rPr>
          <w:rFonts w:cstheme="minorHAnsi"/>
          <w:bCs/>
        </w:rPr>
      </w:pPr>
      <w:r w:rsidRPr="00F35861">
        <w:rPr>
          <w:rFonts w:cstheme="minorHAnsi"/>
          <w:b/>
          <w:bCs/>
        </w:rPr>
        <w:t>Work to be performed</w:t>
      </w:r>
    </w:p>
    <w:p w14:paraId="6ECCB223" w14:textId="5A3B41CD" w:rsidR="001A3E9F" w:rsidRDefault="001A3E9F" w:rsidP="001A3E9F">
      <w:pPr>
        <w:spacing w:after="60"/>
        <w:rPr>
          <w:rFonts w:cstheme="minorHAnsi"/>
          <w:sz w:val="20"/>
          <w:szCs w:val="20"/>
        </w:rPr>
      </w:pPr>
      <w:bookmarkStart w:id="0" w:name="_Hlk19808403"/>
      <w:r w:rsidRPr="001A3E9F">
        <w:rPr>
          <w:rFonts w:cstheme="minorHAnsi"/>
          <w:sz w:val="20"/>
          <w:szCs w:val="20"/>
          <w:u w:val="single"/>
        </w:rPr>
        <w:t>Objective 1</w:t>
      </w:r>
      <w:r w:rsidRPr="001A3E9F">
        <w:rPr>
          <w:rFonts w:cstheme="minorHAnsi"/>
          <w:sz w:val="20"/>
          <w:szCs w:val="20"/>
        </w:rPr>
        <w:t>: Review of the existing clinical pipeline and collection of new data to support the update of the WHO global antibacterial clinical development pipeline analysis in 2020 and subsequently in 2021.</w:t>
      </w:r>
    </w:p>
    <w:p w14:paraId="2E582DBD" w14:textId="77777777" w:rsidR="00274603" w:rsidRPr="001A3E9F" w:rsidRDefault="00274603" w:rsidP="001A3E9F">
      <w:pPr>
        <w:spacing w:after="60"/>
        <w:rPr>
          <w:rFonts w:cstheme="minorHAnsi"/>
          <w:sz w:val="20"/>
          <w:szCs w:val="20"/>
        </w:rPr>
      </w:pPr>
    </w:p>
    <w:p w14:paraId="3DDAD849" w14:textId="3782E01E" w:rsidR="001A3E9F" w:rsidRPr="001A3E9F" w:rsidRDefault="001A3E9F" w:rsidP="001A3E9F">
      <w:pPr>
        <w:spacing w:after="60" w:line="240" w:lineRule="auto"/>
        <w:rPr>
          <w:rFonts w:cstheme="minorHAnsi"/>
          <w:sz w:val="20"/>
          <w:szCs w:val="20"/>
        </w:rPr>
      </w:pPr>
      <w:r w:rsidRPr="001A3E9F">
        <w:rPr>
          <w:rFonts w:cstheme="minorHAnsi"/>
          <w:sz w:val="20"/>
          <w:szCs w:val="20"/>
        </w:rPr>
        <w:t xml:space="preserve">Deliverable 1.1: Update the existing WHO clinical pipeline data by collecting new products in phase-1 and reviewing the existing antibacterial products in the clinical pipeline </w:t>
      </w:r>
    </w:p>
    <w:p w14:paraId="2264C991" w14:textId="7C56A065" w:rsidR="000A6248" w:rsidRDefault="001A3E9F" w:rsidP="001A3E9F">
      <w:pPr>
        <w:spacing w:after="60" w:line="240" w:lineRule="auto"/>
        <w:rPr>
          <w:rFonts w:cstheme="minorHAnsi"/>
          <w:sz w:val="20"/>
          <w:szCs w:val="20"/>
        </w:rPr>
      </w:pPr>
      <w:r w:rsidRPr="001A3E9F">
        <w:rPr>
          <w:rFonts w:cstheme="minorHAnsi"/>
          <w:sz w:val="20"/>
          <w:szCs w:val="20"/>
        </w:rPr>
        <w:t>(</w:t>
      </w:r>
      <w:hyperlink r:id="rId12" w:history="1">
        <w:r w:rsidR="000A6248" w:rsidRPr="00224071">
          <w:rPr>
            <w:rStyle w:val="Hyperlink"/>
            <w:rFonts w:cstheme="minorHAnsi"/>
            <w:sz w:val="20"/>
            <w:szCs w:val="20"/>
          </w:rPr>
          <w:t>http://www.who.int/medicines/areas/rational_use/antibacterial_agents_clinical_development/en/</w:t>
        </w:r>
      </w:hyperlink>
      <w:r w:rsidR="000A6248">
        <w:rPr>
          <w:rFonts w:cstheme="minorHAnsi"/>
          <w:sz w:val="20"/>
          <w:szCs w:val="20"/>
        </w:rPr>
        <w:t xml:space="preserve"> ),</w:t>
      </w:r>
    </w:p>
    <w:p w14:paraId="0FA82DD5" w14:textId="776F58C1" w:rsidR="001A3E9F" w:rsidRPr="001A3E9F" w:rsidRDefault="001A3E9F" w:rsidP="001A3E9F">
      <w:pPr>
        <w:spacing w:after="60" w:line="240" w:lineRule="auto"/>
        <w:rPr>
          <w:rFonts w:cstheme="minorHAnsi"/>
          <w:sz w:val="20"/>
          <w:szCs w:val="20"/>
        </w:rPr>
      </w:pPr>
      <w:r w:rsidRPr="001A3E9F">
        <w:rPr>
          <w:rFonts w:cstheme="minorHAnsi"/>
          <w:sz w:val="20"/>
          <w:szCs w:val="20"/>
        </w:rPr>
        <w:t xml:space="preserve">including the name, developer, phase, antibiotic class, route of administration, expected activity against the WHO priority pathogens list, </w:t>
      </w:r>
      <w:r w:rsidRPr="001A3E9F">
        <w:rPr>
          <w:rFonts w:cstheme="minorHAnsi"/>
          <w:i/>
          <w:iCs/>
          <w:sz w:val="20"/>
          <w:szCs w:val="20"/>
        </w:rPr>
        <w:t>C. difficile</w:t>
      </w:r>
      <w:r w:rsidRPr="001A3E9F">
        <w:rPr>
          <w:rFonts w:cstheme="minorHAnsi"/>
          <w:sz w:val="20"/>
          <w:szCs w:val="20"/>
        </w:rPr>
        <w:t xml:space="preserve"> and TB and potential innovativeness of each product</w:t>
      </w:r>
      <w:r w:rsidR="002907F1">
        <w:rPr>
          <w:rFonts w:cstheme="minorHAnsi"/>
          <w:sz w:val="20"/>
          <w:szCs w:val="20"/>
        </w:rPr>
        <w:t xml:space="preserve"> as well as the funder/s for each product</w:t>
      </w:r>
      <w:r w:rsidRPr="001A3E9F">
        <w:rPr>
          <w:rFonts w:cstheme="minorHAnsi"/>
          <w:sz w:val="20"/>
          <w:szCs w:val="20"/>
        </w:rPr>
        <w:t xml:space="preserve"> for validation by the advisory group in 3</w:t>
      </w:r>
      <w:r w:rsidRPr="001A3E9F">
        <w:rPr>
          <w:rFonts w:cstheme="minorHAnsi"/>
          <w:sz w:val="20"/>
          <w:szCs w:val="20"/>
          <w:vertAlign w:val="superscript"/>
        </w:rPr>
        <w:t>rd</w:t>
      </w:r>
      <w:r w:rsidRPr="001A3E9F">
        <w:rPr>
          <w:rFonts w:cstheme="minorHAnsi"/>
          <w:sz w:val="20"/>
          <w:szCs w:val="20"/>
        </w:rPr>
        <w:t>/4</w:t>
      </w:r>
      <w:r w:rsidRPr="001A3E9F">
        <w:rPr>
          <w:rFonts w:cstheme="minorHAnsi"/>
          <w:sz w:val="20"/>
          <w:szCs w:val="20"/>
          <w:vertAlign w:val="superscript"/>
        </w:rPr>
        <w:t>th</w:t>
      </w:r>
      <w:r w:rsidRPr="001A3E9F">
        <w:rPr>
          <w:rFonts w:cstheme="minorHAnsi"/>
          <w:sz w:val="20"/>
          <w:szCs w:val="20"/>
        </w:rPr>
        <w:t xml:space="preserve"> quarter of 2020 and 202</w:t>
      </w:r>
      <w:r w:rsidR="00350162">
        <w:rPr>
          <w:rFonts w:cstheme="minorHAnsi"/>
          <w:sz w:val="20"/>
          <w:szCs w:val="20"/>
        </w:rPr>
        <w:t>1</w:t>
      </w:r>
      <w:r w:rsidRPr="001A3E9F">
        <w:rPr>
          <w:rFonts w:cstheme="minorHAnsi"/>
          <w:sz w:val="20"/>
          <w:szCs w:val="20"/>
        </w:rPr>
        <w:t>.</w:t>
      </w:r>
    </w:p>
    <w:p w14:paraId="57B55E53" w14:textId="32DCA8EE" w:rsidR="00350162" w:rsidRPr="001A3E9F" w:rsidRDefault="00350162" w:rsidP="00350162">
      <w:pPr>
        <w:spacing w:after="60" w:line="240" w:lineRule="auto"/>
        <w:rPr>
          <w:rFonts w:cstheme="minorHAnsi"/>
          <w:sz w:val="20"/>
          <w:szCs w:val="20"/>
        </w:rPr>
      </w:pPr>
      <w:r>
        <w:rPr>
          <w:rFonts w:cstheme="minorHAnsi"/>
          <w:sz w:val="20"/>
          <w:szCs w:val="20"/>
        </w:rPr>
        <w:t>Deliverable 1.2</w:t>
      </w:r>
      <w:r w:rsidRPr="001A3E9F">
        <w:rPr>
          <w:rFonts w:cstheme="minorHAnsi"/>
          <w:sz w:val="20"/>
          <w:szCs w:val="20"/>
        </w:rPr>
        <w:t xml:space="preserve">: </w:t>
      </w:r>
      <w:r>
        <w:rPr>
          <w:rFonts w:cstheme="minorHAnsi"/>
          <w:sz w:val="20"/>
          <w:szCs w:val="20"/>
        </w:rPr>
        <w:t>Collect data on non-traditional antibacterial agents in clinical development</w:t>
      </w:r>
      <w:r w:rsidRPr="001A3E9F">
        <w:rPr>
          <w:rFonts w:cstheme="minorHAnsi"/>
          <w:sz w:val="20"/>
          <w:szCs w:val="20"/>
        </w:rPr>
        <w:t>, including the name, developer, phase, antibiotic class, route of administration, expected activity against the WHO priority pathogens list, and potential innovativeness of each produc</w:t>
      </w:r>
      <w:r w:rsidR="007C4E3D">
        <w:rPr>
          <w:rFonts w:cstheme="minorHAnsi"/>
          <w:sz w:val="20"/>
          <w:szCs w:val="20"/>
        </w:rPr>
        <w:t>t</w:t>
      </w:r>
      <w:r w:rsidR="002907F1">
        <w:rPr>
          <w:rFonts w:cstheme="minorHAnsi"/>
          <w:sz w:val="20"/>
          <w:szCs w:val="20"/>
        </w:rPr>
        <w:t>, as well as the funder/s for each product</w:t>
      </w:r>
      <w:r w:rsidR="002907F1" w:rsidRPr="001A3E9F">
        <w:rPr>
          <w:rFonts w:cstheme="minorHAnsi"/>
          <w:sz w:val="20"/>
          <w:szCs w:val="20"/>
        </w:rPr>
        <w:t xml:space="preserve"> </w:t>
      </w:r>
      <w:r w:rsidRPr="001A3E9F">
        <w:rPr>
          <w:rFonts w:cstheme="minorHAnsi"/>
          <w:sz w:val="20"/>
          <w:szCs w:val="20"/>
        </w:rPr>
        <w:t>t for validation by the advisory group in 3</w:t>
      </w:r>
      <w:r w:rsidRPr="001A3E9F">
        <w:rPr>
          <w:rFonts w:cstheme="minorHAnsi"/>
          <w:sz w:val="20"/>
          <w:szCs w:val="20"/>
          <w:vertAlign w:val="superscript"/>
        </w:rPr>
        <w:t>rd</w:t>
      </w:r>
      <w:r w:rsidRPr="001A3E9F">
        <w:rPr>
          <w:rFonts w:cstheme="minorHAnsi"/>
          <w:sz w:val="20"/>
          <w:szCs w:val="20"/>
        </w:rPr>
        <w:t>/4</w:t>
      </w:r>
      <w:r w:rsidRPr="001A3E9F">
        <w:rPr>
          <w:rFonts w:cstheme="minorHAnsi"/>
          <w:sz w:val="20"/>
          <w:szCs w:val="20"/>
          <w:vertAlign w:val="superscript"/>
        </w:rPr>
        <w:t>th</w:t>
      </w:r>
      <w:r>
        <w:rPr>
          <w:rFonts w:cstheme="minorHAnsi"/>
          <w:sz w:val="20"/>
          <w:szCs w:val="20"/>
        </w:rPr>
        <w:t xml:space="preserve"> quarter of 2020 and 2021</w:t>
      </w:r>
      <w:r w:rsidRPr="001A3E9F">
        <w:rPr>
          <w:rFonts w:cstheme="minorHAnsi"/>
          <w:sz w:val="20"/>
          <w:szCs w:val="20"/>
        </w:rPr>
        <w:t>.</w:t>
      </w:r>
    </w:p>
    <w:p w14:paraId="28A1DB4D" w14:textId="5B7EDB56" w:rsidR="00350162" w:rsidRDefault="00350162" w:rsidP="001A3E9F">
      <w:pPr>
        <w:spacing w:after="60"/>
        <w:rPr>
          <w:rFonts w:cstheme="minorHAnsi"/>
          <w:sz w:val="20"/>
          <w:szCs w:val="20"/>
        </w:rPr>
      </w:pPr>
      <w:r>
        <w:rPr>
          <w:rFonts w:cstheme="minorHAnsi"/>
          <w:sz w:val="20"/>
          <w:szCs w:val="20"/>
        </w:rPr>
        <w:t xml:space="preserve">Deliverable 1.3: </w:t>
      </w:r>
      <w:r w:rsidR="002907F1" w:rsidRPr="001A3E9F">
        <w:rPr>
          <w:rFonts w:cstheme="minorHAnsi"/>
          <w:sz w:val="20"/>
          <w:szCs w:val="20"/>
        </w:rPr>
        <w:t>Support the WHO IRC/GCP uni</w:t>
      </w:r>
      <w:r w:rsidR="002907F1">
        <w:rPr>
          <w:rFonts w:cstheme="minorHAnsi"/>
          <w:sz w:val="20"/>
          <w:szCs w:val="20"/>
        </w:rPr>
        <w:t>t</w:t>
      </w:r>
      <w:r>
        <w:rPr>
          <w:rFonts w:cstheme="minorHAnsi"/>
          <w:sz w:val="20"/>
          <w:szCs w:val="20"/>
        </w:rPr>
        <w:t xml:space="preserve"> in developing additional criteria for evaluating the </w:t>
      </w:r>
      <w:r w:rsidR="002907F1">
        <w:rPr>
          <w:rFonts w:cstheme="minorHAnsi"/>
          <w:sz w:val="20"/>
          <w:szCs w:val="20"/>
        </w:rPr>
        <w:t>cli</w:t>
      </w:r>
      <w:r w:rsidR="007C4E3D">
        <w:rPr>
          <w:rFonts w:cstheme="minorHAnsi"/>
          <w:sz w:val="20"/>
          <w:szCs w:val="20"/>
        </w:rPr>
        <w:t>n</w:t>
      </w:r>
      <w:r w:rsidR="002907F1">
        <w:rPr>
          <w:rFonts w:cstheme="minorHAnsi"/>
          <w:sz w:val="20"/>
          <w:szCs w:val="20"/>
        </w:rPr>
        <w:t xml:space="preserve">ical antibacterial </w:t>
      </w:r>
      <w:r>
        <w:rPr>
          <w:rFonts w:cstheme="minorHAnsi"/>
          <w:sz w:val="20"/>
          <w:szCs w:val="20"/>
        </w:rPr>
        <w:t>pipeline products focusing on their potential clinical utility</w:t>
      </w:r>
      <w:r w:rsidR="002907F1">
        <w:rPr>
          <w:rFonts w:cstheme="minorHAnsi"/>
          <w:sz w:val="20"/>
          <w:szCs w:val="20"/>
        </w:rPr>
        <w:t>.</w:t>
      </w:r>
    </w:p>
    <w:p w14:paraId="24E912FC" w14:textId="77777777" w:rsidR="00274603" w:rsidRPr="001A3E9F" w:rsidRDefault="00274603" w:rsidP="001A3E9F">
      <w:pPr>
        <w:spacing w:after="60"/>
        <w:rPr>
          <w:rFonts w:cstheme="minorHAnsi"/>
          <w:sz w:val="20"/>
          <w:szCs w:val="20"/>
        </w:rPr>
      </w:pPr>
    </w:p>
    <w:p w14:paraId="21353D12" w14:textId="5428810C" w:rsidR="001A3E9F" w:rsidRPr="001A3E9F" w:rsidRDefault="001A3E9F" w:rsidP="001A3E9F">
      <w:pPr>
        <w:spacing w:after="60"/>
        <w:rPr>
          <w:rFonts w:cstheme="minorHAnsi"/>
          <w:sz w:val="20"/>
          <w:szCs w:val="20"/>
          <w:u w:val="single"/>
        </w:rPr>
      </w:pPr>
      <w:r w:rsidRPr="001A3E9F">
        <w:rPr>
          <w:rFonts w:cstheme="minorHAnsi"/>
          <w:sz w:val="20"/>
          <w:szCs w:val="20"/>
          <w:u w:val="single"/>
        </w:rPr>
        <w:t>Objective 2</w:t>
      </w:r>
      <w:r w:rsidRPr="001A3E9F">
        <w:rPr>
          <w:rFonts w:cstheme="minorHAnsi"/>
          <w:sz w:val="20"/>
          <w:szCs w:val="20"/>
        </w:rPr>
        <w:t xml:space="preserve">: </w:t>
      </w:r>
      <w:r w:rsidR="00350162">
        <w:rPr>
          <w:rFonts w:cstheme="minorHAnsi"/>
          <w:sz w:val="20"/>
          <w:szCs w:val="20"/>
        </w:rPr>
        <w:t xml:space="preserve">Support two advisory group meetings in 2020 and 2021: </w:t>
      </w:r>
    </w:p>
    <w:p w14:paraId="12748FD8" w14:textId="2CB16482" w:rsidR="001A3E9F" w:rsidRPr="001A3E9F" w:rsidRDefault="001A3E9F" w:rsidP="001A3E9F">
      <w:pPr>
        <w:spacing w:after="60" w:line="240" w:lineRule="auto"/>
        <w:rPr>
          <w:rFonts w:cstheme="minorHAnsi"/>
          <w:sz w:val="20"/>
          <w:szCs w:val="20"/>
        </w:rPr>
      </w:pPr>
      <w:r w:rsidRPr="001A3E9F">
        <w:rPr>
          <w:rFonts w:cstheme="minorHAnsi"/>
          <w:sz w:val="20"/>
          <w:szCs w:val="20"/>
        </w:rPr>
        <w:t xml:space="preserve">Deliverable 2.1: Support the WHO IRC/GCP unit in the preparation for the advisory group meeting in </w:t>
      </w:r>
      <w:r w:rsidR="007C4E3D">
        <w:rPr>
          <w:rFonts w:cstheme="minorHAnsi"/>
          <w:sz w:val="20"/>
          <w:szCs w:val="20"/>
        </w:rPr>
        <w:t xml:space="preserve">the </w:t>
      </w:r>
      <w:r w:rsidRPr="001A3E9F">
        <w:rPr>
          <w:rFonts w:cstheme="minorHAnsi"/>
          <w:sz w:val="20"/>
          <w:szCs w:val="20"/>
        </w:rPr>
        <w:t>3</w:t>
      </w:r>
      <w:r w:rsidRPr="001A3E9F">
        <w:rPr>
          <w:rFonts w:cstheme="minorHAnsi"/>
          <w:sz w:val="20"/>
          <w:szCs w:val="20"/>
          <w:vertAlign w:val="superscript"/>
        </w:rPr>
        <w:t>rd</w:t>
      </w:r>
      <w:r w:rsidRPr="001A3E9F">
        <w:rPr>
          <w:rFonts w:cstheme="minorHAnsi"/>
          <w:sz w:val="20"/>
          <w:szCs w:val="20"/>
        </w:rPr>
        <w:t>/4</w:t>
      </w:r>
      <w:r w:rsidRPr="001A3E9F">
        <w:rPr>
          <w:rFonts w:cstheme="minorHAnsi"/>
          <w:sz w:val="20"/>
          <w:szCs w:val="20"/>
          <w:vertAlign w:val="superscript"/>
        </w:rPr>
        <w:t>th</w:t>
      </w:r>
      <w:r w:rsidRPr="001A3E9F">
        <w:rPr>
          <w:rFonts w:cstheme="minorHAnsi"/>
          <w:sz w:val="20"/>
          <w:szCs w:val="20"/>
        </w:rPr>
        <w:t xml:space="preserve"> quarter of 2020 and 202</w:t>
      </w:r>
      <w:r w:rsidR="00350162">
        <w:rPr>
          <w:rFonts w:cstheme="minorHAnsi"/>
          <w:sz w:val="20"/>
          <w:szCs w:val="20"/>
        </w:rPr>
        <w:t>1</w:t>
      </w:r>
      <w:r w:rsidRPr="001A3E9F">
        <w:rPr>
          <w:rFonts w:cstheme="minorHAnsi"/>
          <w:sz w:val="20"/>
          <w:szCs w:val="20"/>
        </w:rPr>
        <w:t xml:space="preserve"> including preparation of meeting background documents and presentation of the data collected on the antibacterial products in the clinical pipeline. Participate in both meetings.</w:t>
      </w:r>
    </w:p>
    <w:p w14:paraId="1CBEFCB4" w14:textId="77777777" w:rsidR="001A3E9F" w:rsidRPr="001A3E9F" w:rsidRDefault="001A3E9F" w:rsidP="001A3E9F">
      <w:pPr>
        <w:spacing w:after="60" w:line="240" w:lineRule="auto"/>
        <w:rPr>
          <w:rFonts w:cstheme="minorHAnsi"/>
          <w:sz w:val="20"/>
          <w:szCs w:val="20"/>
        </w:rPr>
      </w:pPr>
      <w:r w:rsidRPr="001A3E9F">
        <w:rPr>
          <w:rFonts w:cstheme="minorHAnsi"/>
          <w:sz w:val="20"/>
          <w:szCs w:val="20"/>
        </w:rPr>
        <w:t>Deliverable 2.2: Finalize the qualitative analysis of antibacterial agents in clinical pipeline in 2020 and 2021 following the advisory group meetings resulting in two WHO publications.</w:t>
      </w:r>
    </w:p>
    <w:p w14:paraId="3271438D" w14:textId="77777777" w:rsidR="00274603" w:rsidRDefault="001A3E9F" w:rsidP="001A3E9F">
      <w:pPr>
        <w:spacing w:after="60" w:line="240" w:lineRule="auto"/>
        <w:rPr>
          <w:rFonts w:cstheme="minorHAnsi"/>
          <w:sz w:val="20"/>
          <w:szCs w:val="20"/>
        </w:rPr>
      </w:pPr>
      <w:r w:rsidRPr="001A3E9F">
        <w:rPr>
          <w:rFonts w:cstheme="minorHAnsi"/>
          <w:sz w:val="20"/>
          <w:szCs w:val="20"/>
        </w:rPr>
        <w:t xml:space="preserve">Delivery 2.3: Review and update the excel document of the pipeline documents for uploading in the WHO Global Observatory on Health R&amp;D </w:t>
      </w:r>
    </w:p>
    <w:p w14:paraId="65F157CF" w14:textId="3E3937FD" w:rsidR="001A3E9F" w:rsidRPr="001A3E9F" w:rsidRDefault="001A3E9F" w:rsidP="001A3E9F">
      <w:pPr>
        <w:spacing w:after="60" w:line="240" w:lineRule="auto"/>
        <w:rPr>
          <w:rFonts w:cstheme="minorHAnsi"/>
          <w:sz w:val="20"/>
          <w:szCs w:val="20"/>
        </w:rPr>
      </w:pPr>
      <w:r w:rsidRPr="001A3E9F">
        <w:rPr>
          <w:rFonts w:cstheme="minorHAnsi"/>
          <w:sz w:val="20"/>
          <w:szCs w:val="20"/>
        </w:rPr>
        <w:t>(</w:t>
      </w:r>
      <w:hyperlink r:id="rId13" w:history="1">
        <w:r w:rsidR="00274603" w:rsidRPr="00224071">
          <w:rPr>
            <w:rStyle w:val="Hyperlink"/>
            <w:rFonts w:cstheme="minorHAnsi"/>
            <w:sz w:val="20"/>
            <w:szCs w:val="20"/>
          </w:rPr>
          <w:t>http://www.who.int/research observatory/monitoring/processes/</w:t>
        </w:r>
        <w:proofErr w:type="spellStart"/>
        <w:r w:rsidR="00274603" w:rsidRPr="00224071">
          <w:rPr>
            <w:rStyle w:val="Hyperlink"/>
            <w:rFonts w:cstheme="minorHAnsi"/>
            <w:sz w:val="20"/>
            <w:szCs w:val="20"/>
          </w:rPr>
          <w:t>antibacterial_products</w:t>
        </w:r>
        <w:proofErr w:type="spellEnd"/>
        <w:r w:rsidR="00274603" w:rsidRPr="00224071">
          <w:rPr>
            <w:rStyle w:val="Hyperlink"/>
            <w:rFonts w:cstheme="minorHAnsi"/>
            <w:sz w:val="20"/>
            <w:szCs w:val="20"/>
          </w:rPr>
          <w:t>/</w:t>
        </w:r>
        <w:proofErr w:type="spellStart"/>
        <w:r w:rsidR="00274603" w:rsidRPr="00224071">
          <w:rPr>
            <w:rStyle w:val="Hyperlink"/>
            <w:rFonts w:cstheme="minorHAnsi"/>
            <w:sz w:val="20"/>
            <w:szCs w:val="20"/>
          </w:rPr>
          <w:t>en</w:t>
        </w:r>
        <w:proofErr w:type="spellEnd"/>
        <w:r w:rsidR="00274603" w:rsidRPr="00224071">
          <w:rPr>
            <w:rStyle w:val="Hyperlink"/>
            <w:rFonts w:cstheme="minorHAnsi"/>
            <w:sz w:val="20"/>
            <w:szCs w:val="20"/>
          </w:rPr>
          <w:t>/</w:t>
        </w:r>
      </w:hyperlink>
      <w:r w:rsidRPr="001A3E9F">
        <w:rPr>
          <w:rFonts w:cstheme="minorHAnsi"/>
          <w:sz w:val="20"/>
          <w:szCs w:val="20"/>
        </w:rPr>
        <w:t>)</w:t>
      </w:r>
      <w:r w:rsidR="00350162">
        <w:rPr>
          <w:rFonts w:cstheme="minorHAnsi"/>
          <w:sz w:val="20"/>
          <w:szCs w:val="20"/>
        </w:rPr>
        <w:t xml:space="preserve"> in 2020 and 2021</w:t>
      </w:r>
      <w:r w:rsidRPr="001A3E9F">
        <w:rPr>
          <w:rFonts w:cstheme="minorHAnsi"/>
          <w:sz w:val="20"/>
          <w:szCs w:val="20"/>
        </w:rPr>
        <w:t xml:space="preserve">. </w:t>
      </w:r>
    </w:p>
    <w:p w14:paraId="76C298E8" w14:textId="2C69A924" w:rsidR="001A3E9F" w:rsidRPr="001A3E9F" w:rsidRDefault="001A3E9F" w:rsidP="001A3E9F">
      <w:pPr>
        <w:spacing w:after="60" w:line="240" w:lineRule="auto"/>
        <w:rPr>
          <w:rFonts w:cstheme="minorHAnsi"/>
          <w:sz w:val="20"/>
          <w:szCs w:val="20"/>
        </w:rPr>
      </w:pPr>
      <w:r w:rsidRPr="001A3E9F">
        <w:rPr>
          <w:rFonts w:cstheme="minorHAnsi"/>
          <w:sz w:val="20"/>
          <w:szCs w:val="20"/>
        </w:rPr>
        <w:t xml:space="preserve">Deliverable 2.3: Prepare </w:t>
      </w:r>
      <w:r w:rsidR="00350162">
        <w:rPr>
          <w:rFonts w:cstheme="minorHAnsi"/>
          <w:sz w:val="20"/>
          <w:szCs w:val="20"/>
        </w:rPr>
        <w:t xml:space="preserve">two </w:t>
      </w:r>
      <w:r w:rsidR="002907F1">
        <w:rPr>
          <w:rFonts w:cstheme="minorHAnsi"/>
          <w:sz w:val="20"/>
          <w:szCs w:val="20"/>
        </w:rPr>
        <w:t>WHO</w:t>
      </w:r>
      <w:r w:rsidR="00350162">
        <w:rPr>
          <w:rFonts w:cstheme="minorHAnsi"/>
          <w:sz w:val="20"/>
          <w:szCs w:val="20"/>
        </w:rPr>
        <w:t xml:space="preserve"> reports of the respective expert meetings</w:t>
      </w:r>
      <w:r w:rsidR="002907F1">
        <w:rPr>
          <w:rFonts w:cstheme="minorHAnsi"/>
          <w:sz w:val="20"/>
          <w:szCs w:val="20"/>
        </w:rPr>
        <w:t xml:space="preserve"> with input from WHO IRC/GCP u</w:t>
      </w:r>
      <w:r w:rsidR="007C4E3D">
        <w:rPr>
          <w:rFonts w:cstheme="minorHAnsi"/>
          <w:sz w:val="20"/>
          <w:szCs w:val="20"/>
        </w:rPr>
        <w:t>n</w:t>
      </w:r>
      <w:r w:rsidR="002907F1">
        <w:rPr>
          <w:rFonts w:cstheme="minorHAnsi"/>
          <w:sz w:val="20"/>
          <w:szCs w:val="20"/>
        </w:rPr>
        <w:t>it</w:t>
      </w:r>
      <w:r w:rsidR="00350162">
        <w:rPr>
          <w:rFonts w:cstheme="minorHAnsi"/>
          <w:sz w:val="20"/>
          <w:szCs w:val="20"/>
        </w:rPr>
        <w:t xml:space="preserve"> and </w:t>
      </w:r>
      <w:r w:rsidRPr="001A3E9F">
        <w:rPr>
          <w:rFonts w:cstheme="minorHAnsi"/>
          <w:sz w:val="20"/>
          <w:szCs w:val="20"/>
        </w:rPr>
        <w:t xml:space="preserve">one journal publications (2020 </w:t>
      </w:r>
      <w:r w:rsidR="002907F1" w:rsidRPr="001A3E9F">
        <w:rPr>
          <w:rFonts w:cstheme="minorHAnsi"/>
          <w:sz w:val="20"/>
          <w:szCs w:val="20"/>
        </w:rPr>
        <w:t>o</w:t>
      </w:r>
      <w:r w:rsidR="002907F1">
        <w:rPr>
          <w:rFonts w:cstheme="minorHAnsi"/>
          <w:sz w:val="20"/>
          <w:szCs w:val="20"/>
        </w:rPr>
        <w:t>r</w:t>
      </w:r>
      <w:r w:rsidRPr="001A3E9F">
        <w:rPr>
          <w:rFonts w:cstheme="minorHAnsi"/>
          <w:sz w:val="20"/>
          <w:szCs w:val="20"/>
        </w:rPr>
        <w:t>2021) for peer-review based on the above analysis for potential submission to relevant journals/periodicals.</w:t>
      </w:r>
    </w:p>
    <w:p w14:paraId="2270EE06" w14:textId="77777777" w:rsidR="001A3E9F" w:rsidRPr="001A3E9F" w:rsidRDefault="001A3E9F" w:rsidP="001A3E9F">
      <w:pPr>
        <w:spacing w:after="60"/>
        <w:rPr>
          <w:rFonts w:cstheme="minorHAnsi"/>
          <w:sz w:val="20"/>
          <w:szCs w:val="20"/>
        </w:rPr>
      </w:pPr>
    </w:p>
    <w:p w14:paraId="61682BD4" w14:textId="77777777" w:rsidR="001A3E9F" w:rsidRPr="001A3E9F" w:rsidRDefault="001A3E9F" w:rsidP="001A3E9F">
      <w:pPr>
        <w:spacing w:after="60"/>
        <w:rPr>
          <w:rFonts w:cstheme="minorHAnsi"/>
          <w:sz w:val="20"/>
          <w:szCs w:val="20"/>
        </w:rPr>
      </w:pPr>
      <w:r w:rsidRPr="001A3E9F">
        <w:rPr>
          <w:rFonts w:cstheme="minorHAnsi"/>
          <w:sz w:val="20"/>
          <w:szCs w:val="20"/>
          <w:u w:val="single"/>
        </w:rPr>
        <w:t>Objective 3:</w:t>
      </w:r>
      <w:r w:rsidRPr="001A3E9F">
        <w:rPr>
          <w:rFonts w:cstheme="minorHAnsi"/>
          <w:sz w:val="20"/>
          <w:szCs w:val="20"/>
        </w:rPr>
        <w:t xml:space="preserve"> Provide advice to the 2020 and 2021 </w:t>
      </w:r>
      <w:r w:rsidRPr="00DA0265">
        <w:rPr>
          <w:rFonts w:cstheme="minorHAnsi"/>
          <w:sz w:val="20"/>
          <w:szCs w:val="20"/>
          <w:u w:val="single"/>
        </w:rPr>
        <w:t>preclinical</w:t>
      </w:r>
      <w:r w:rsidRPr="001A3E9F">
        <w:rPr>
          <w:rFonts w:cstheme="minorHAnsi"/>
          <w:sz w:val="20"/>
          <w:szCs w:val="20"/>
        </w:rPr>
        <w:t xml:space="preserve"> pipeline review of the pipeline.</w:t>
      </w:r>
    </w:p>
    <w:p w14:paraId="17A3D79C" w14:textId="7AAD122D" w:rsidR="00C15E54" w:rsidRPr="001A3E9F" w:rsidRDefault="001A3E9F" w:rsidP="001A3E9F">
      <w:pPr>
        <w:spacing w:after="60" w:line="240" w:lineRule="auto"/>
        <w:rPr>
          <w:rFonts w:cstheme="minorHAnsi"/>
          <w:bCs/>
        </w:rPr>
      </w:pPr>
      <w:r w:rsidRPr="001A3E9F">
        <w:rPr>
          <w:rFonts w:cstheme="minorHAnsi"/>
          <w:sz w:val="20"/>
          <w:szCs w:val="20"/>
        </w:rPr>
        <w:t xml:space="preserve">Deliverable 3.1: Provide advisory support to the 2020 </w:t>
      </w:r>
      <w:r w:rsidR="00350162">
        <w:rPr>
          <w:rFonts w:cstheme="minorHAnsi"/>
          <w:sz w:val="20"/>
          <w:szCs w:val="20"/>
        </w:rPr>
        <w:t xml:space="preserve">and </w:t>
      </w:r>
      <w:r w:rsidRPr="001A3E9F">
        <w:rPr>
          <w:rFonts w:cstheme="minorHAnsi"/>
          <w:sz w:val="20"/>
          <w:szCs w:val="20"/>
        </w:rPr>
        <w:t>2021 preclinical review update including the annual open data call and the overall data review</w:t>
      </w:r>
      <w:r w:rsidR="00ED5F55" w:rsidRPr="001A3E9F">
        <w:rPr>
          <w:rFonts w:cstheme="minorHAnsi"/>
          <w:bCs/>
        </w:rPr>
        <w:t xml:space="preserve">. </w:t>
      </w:r>
    </w:p>
    <w:p w14:paraId="642B6FC1" w14:textId="77777777" w:rsidR="00ED5F55" w:rsidRPr="00463018" w:rsidRDefault="00ED5F55" w:rsidP="00ED5F55">
      <w:pPr>
        <w:spacing w:after="60" w:line="240" w:lineRule="auto"/>
        <w:rPr>
          <w:rFonts w:cstheme="minorHAnsi"/>
          <w:bCs/>
        </w:rPr>
      </w:pPr>
    </w:p>
    <w:bookmarkEnd w:id="0"/>
    <w:p w14:paraId="03A97AA2" w14:textId="77777777" w:rsidR="000004D1" w:rsidRPr="00116A84" w:rsidRDefault="00116A84" w:rsidP="000004D1">
      <w:pPr>
        <w:pStyle w:val="ListParagraph"/>
        <w:numPr>
          <w:ilvl w:val="0"/>
          <w:numId w:val="1"/>
        </w:numPr>
        <w:spacing w:after="60" w:line="240" w:lineRule="auto"/>
        <w:rPr>
          <w:rFonts w:cstheme="minorHAnsi"/>
          <w:b/>
          <w:bCs/>
        </w:rPr>
      </w:pPr>
      <w:r w:rsidRPr="00116A84">
        <w:rPr>
          <w:rFonts w:cstheme="minorHAnsi"/>
          <w:b/>
          <w:bCs/>
        </w:rPr>
        <w:t>Technical Supervision</w:t>
      </w:r>
    </w:p>
    <w:p w14:paraId="17D24523" w14:textId="77777777" w:rsidR="00116A84" w:rsidRDefault="00116A84" w:rsidP="00116A84">
      <w:pPr>
        <w:spacing w:after="60" w:line="240" w:lineRule="auto"/>
        <w:rPr>
          <w:rFonts w:cstheme="minorHAnsi"/>
        </w:rPr>
      </w:pPr>
      <w:r>
        <w:rPr>
          <w:rFonts w:cstheme="minorHAnsi"/>
        </w:rPr>
        <w:t>The selected Consultant will work on the supervision of:</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207"/>
        <w:gridCol w:w="4024"/>
        <w:gridCol w:w="847"/>
        <w:gridCol w:w="2663"/>
      </w:tblGrid>
      <w:tr w:rsidR="001A3E9F" w:rsidRPr="00116A84" w14:paraId="581FA1A4" w14:textId="77777777" w:rsidTr="001A3E9F">
        <w:tc>
          <w:tcPr>
            <w:tcW w:w="2207" w:type="dxa"/>
          </w:tcPr>
          <w:p w14:paraId="78B3109A" w14:textId="58CEFB27" w:rsidR="001A3E9F" w:rsidRPr="00116A84" w:rsidRDefault="001A3E9F" w:rsidP="001A3E9F">
            <w:pPr>
              <w:spacing w:after="60"/>
              <w:rPr>
                <w:rFonts w:cstheme="minorHAnsi"/>
                <w:sz w:val="20"/>
                <w:szCs w:val="20"/>
              </w:rPr>
            </w:pPr>
            <w:r w:rsidRPr="00116A84">
              <w:rPr>
                <w:rFonts w:cstheme="minorHAnsi"/>
                <w:sz w:val="20"/>
                <w:szCs w:val="20"/>
              </w:rPr>
              <w:t xml:space="preserve">Responsible Officer: </w:t>
            </w:r>
          </w:p>
        </w:tc>
        <w:tc>
          <w:tcPr>
            <w:tcW w:w="4024" w:type="dxa"/>
          </w:tcPr>
          <w:p w14:paraId="0890C954" w14:textId="055823F0" w:rsidR="001A3E9F" w:rsidRPr="00116A84" w:rsidRDefault="001A3E9F" w:rsidP="001A3E9F">
            <w:pPr>
              <w:spacing w:after="60"/>
              <w:rPr>
                <w:rFonts w:cstheme="minorHAnsi"/>
                <w:sz w:val="20"/>
                <w:szCs w:val="20"/>
              </w:rPr>
            </w:pPr>
            <w:r w:rsidRPr="005C1DAB">
              <w:rPr>
                <w:rFonts w:cstheme="minorHAnsi"/>
                <w:sz w:val="20"/>
                <w:szCs w:val="20"/>
              </w:rPr>
              <w:t xml:space="preserve">Sarah Paulin, Technical Officer, </w:t>
            </w:r>
            <w:r>
              <w:rPr>
                <w:rFonts w:cstheme="minorHAnsi"/>
                <w:sz w:val="20"/>
                <w:szCs w:val="20"/>
              </w:rPr>
              <w:t>GCP, IRC</w:t>
            </w:r>
          </w:p>
        </w:tc>
        <w:tc>
          <w:tcPr>
            <w:tcW w:w="847" w:type="dxa"/>
          </w:tcPr>
          <w:p w14:paraId="358845DA" w14:textId="168D8342" w:rsidR="001A3E9F" w:rsidRPr="00116A84" w:rsidRDefault="001A3E9F" w:rsidP="001A3E9F">
            <w:pPr>
              <w:spacing w:after="60"/>
              <w:rPr>
                <w:rFonts w:cstheme="minorHAnsi"/>
                <w:sz w:val="20"/>
                <w:szCs w:val="20"/>
              </w:rPr>
            </w:pPr>
            <w:r w:rsidRPr="00116A84">
              <w:rPr>
                <w:rFonts w:cstheme="minorHAnsi"/>
                <w:sz w:val="20"/>
                <w:szCs w:val="20"/>
              </w:rPr>
              <w:t>Email:</w:t>
            </w:r>
          </w:p>
        </w:tc>
        <w:tc>
          <w:tcPr>
            <w:tcW w:w="2663" w:type="dxa"/>
          </w:tcPr>
          <w:p w14:paraId="47EC87B9" w14:textId="3C897C08" w:rsidR="001A3E9F" w:rsidRPr="00116A84" w:rsidRDefault="001A3E9F" w:rsidP="001A3E9F">
            <w:pPr>
              <w:spacing w:after="60"/>
              <w:rPr>
                <w:rFonts w:cstheme="minorHAnsi"/>
                <w:sz w:val="20"/>
                <w:szCs w:val="20"/>
              </w:rPr>
            </w:pPr>
            <w:r>
              <w:rPr>
                <w:rFonts w:cstheme="minorHAnsi"/>
                <w:sz w:val="20"/>
                <w:szCs w:val="20"/>
              </w:rPr>
              <w:t>paulins@who.int</w:t>
            </w:r>
          </w:p>
        </w:tc>
      </w:tr>
      <w:tr w:rsidR="001A3E9F" w:rsidRPr="00116A84" w14:paraId="3606A1A0" w14:textId="77777777" w:rsidTr="001A3E9F">
        <w:tc>
          <w:tcPr>
            <w:tcW w:w="2207" w:type="dxa"/>
          </w:tcPr>
          <w:p w14:paraId="5088FDD3" w14:textId="1150ABA6" w:rsidR="001A3E9F" w:rsidRPr="00116A84" w:rsidRDefault="001A3E9F" w:rsidP="001A3E9F">
            <w:pPr>
              <w:spacing w:after="60"/>
              <w:rPr>
                <w:rFonts w:cstheme="minorHAnsi"/>
                <w:sz w:val="20"/>
                <w:szCs w:val="20"/>
              </w:rPr>
            </w:pPr>
            <w:r>
              <w:rPr>
                <w:rFonts w:cstheme="minorHAnsi"/>
                <w:sz w:val="20"/>
                <w:szCs w:val="20"/>
              </w:rPr>
              <w:t>Manager:</w:t>
            </w:r>
          </w:p>
        </w:tc>
        <w:tc>
          <w:tcPr>
            <w:tcW w:w="4024" w:type="dxa"/>
          </w:tcPr>
          <w:p w14:paraId="327E5B0C" w14:textId="4801B6C7" w:rsidR="001A3E9F" w:rsidRPr="00116A84" w:rsidRDefault="001A3E9F" w:rsidP="001A3E9F">
            <w:pPr>
              <w:spacing w:after="60"/>
              <w:rPr>
                <w:rFonts w:cstheme="minorHAnsi"/>
                <w:sz w:val="20"/>
                <w:szCs w:val="20"/>
              </w:rPr>
            </w:pPr>
            <w:r w:rsidRPr="005C1DAB">
              <w:rPr>
                <w:rFonts w:cstheme="minorHAnsi"/>
                <w:sz w:val="20"/>
                <w:szCs w:val="20"/>
              </w:rPr>
              <w:t xml:space="preserve">Peter Beyer, Senior Advisor, </w:t>
            </w:r>
            <w:r>
              <w:rPr>
                <w:rFonts w:cstheme="minorHAnsi"/>
                <w:sz w:val="20"/>
                <w:szCs w:val="20"/>
              </w:rPr>
              <w:t>GCP, IRC</w:t>
            </w:r>
          </w:p>
        </w:tc>
        <w:tc>
          <w:tcPr>
            <w:tcW w:w="847" w:type="dxa"/>
          </w:tcPr>
          <w:p w14:paraId="3477BB91" w14:textId="64F2F5FB" w:rsidR="001A3E9F" w:rsidRPr="00116A84" w:rsidRDefault="001A3E9F" w:rsidP="001A3E9F">
            <w:pPr>
              <w:spacing w:after="60"/>
              <w:rPr>
                <w:rFonts w:cstheme="minorHAnsi"/>
                <w:sz w:val="20"/>
                <w:szCs w:val="20"/>
              </w:rPr>
            </w:pPr>
            <w:r w:rsidRPr="00116A84">
              <w:rPr>
                <w:rFonts w:cstheme="minorHAnsi"/>
                <w:sz w:val="20"/>
                <w:szCs w:val="20"/>
              </w:rPr>
              <w:t>Email:</w:t>
            </w:r>
          </w:p>
        </w:tc>
        <w:tc>
          <w:tcPr>
            <w:tcW w:w="2663" w:type="dxa"/>
          </w:tcPr>
          <w:p w14:paraId="70638C34" w14:textId="682E9EA6" w:rsidR="001A3E9F" w:rsidRPr="00116A84" w:rsidRDefault="001A3E9F" w:rsidP="001A3E9F">
            <w:pPr>
              <w:spacing w:after="60"/>
              <w:rPr>
                <w:rFonts w:cstheme="minorHAnsi"/>
                <w:sz w:val="20"/>
                <w:szCs w:val="20"/>
              </w:rPr>
            </w:pPr>
            <w:r>
              <w:rPr>
                <w:rFonts w:cstheme="minorHAnsi"/>
                <w:sz w:val="20"/>
                <w:szCs w:val="20"/>
              </w:rPr>
              <w:t>beyerp@who.int</w:t>
            </w:r>
          </w:p>
        </w:tc>
      </w:tr>
    </w:tbl>
    <w:p w14:paraId="37733EFB" w14:textId="77777777" w:rsidR="00116A84" w:rsidRDefault="00116A84" w:rsidP="00116A84">
      <w:pPr>
        <w:spacing w:after="60" w:line="240" w:lineRule="auto"/>
        <w:rPr>
          <w:rFonts w:cstheme="minorHAnsi"/>
        </w:rPr>
      </w:pPr>
    </w:p>
    <w:p w14:paraId="5B440470" w14:textId="77777777" w:rsidR="00E81621" w:rsidRPr="000004D1" w:rsidRDefault="00E81621" w:rsidP="00E81621">
      <w:pPr>
        <w:pStyle w:val="ListParagraph"/>
        <w:numPr>
          <w:ilvl w:val="0"/>
          <w:numId w:val="1"/>
        </w:numPr>
        <w:spacing w:after="60" w:line="240" w:lineRule="auto"/>
        <w:rPr>
          <w:rFonts w:cstheme="minorHAnsi"/>
          <w:b/>
          <w:bCs/>
        </w:rPr>
      </w:pPr>
      <w:r>
        <w:rPr>
          <w:rFonts w:cstheme="minorHAnsi"/>
          <w:b/>
          <w:bCs/>
        </w:rPr>
        <w:t xml:space="preserve">Timelines </w:t>
      </w:r>
    </w:p>
    <w:p w14:paraId="6E9399AC" w14:textId="77777777" w:rsidR="001A3E9F" w:rsidRPr="001A3E9F" w:rsidRDefault="001A3E9F" w:rsidP="001A3E9F">
      <w:pPr>
        <w:spacing w:after="60" w:line="240" w:lineRule="auto"/>
        <w:rPr>
          <w:rFonts w:cstheme="minorHAnsi"/>
          <w:sz w:val="20"/>
        </w:rPr>
      </w:pPr>
      <w:r w:rsidRPr="001A3E9F">
        <w:rPr>
          <w:rFonts w:cstheme="minorHAnsi"/>
          <w:sz w:val="20"/>
        </w:rPr>
        <w:t>Start date:  01/04/2020</w:t>
      </w:r>
    </w:p>
    <w:p w14:paraId="2F7B3D1E" w14:textId="77777777" w:rsidR="001A3E9F" w:rsidRPr="001A3E9F" w:rsidRDefault="001A3E9F" w:rsidP="001A3E9F">
      <w:pPr>
        <w:spacing w:after="60" w:line="240" w:lineRule="auto"/>
        <w:rPr>
          <w:rFonts w:cstheme="minorHAnsi"/>
          <w:sz w:val="20"/>
        </w:rPr>
      </w:pPr>
      <w:r w:rsidRPr="001A3E9F">
        <w:rPr>
          <w:rFonts w:cstheme="minorHAnsi"/>
          <w:sz w:val="20"/>
        </w:rPr>
        <w:t>End date: 01/12/2021</w:t>
      </w:r>
    </w:p>
    <w:p w14:paraId="24A3D97D" w14:textId="77777777" w:rsidR="00274603" w:rsidRDefault="00274603" w:rsidP="000C3A64">
      <w:pPr>
        <w:spacing w:after="60" w:line="240" w:lineRule="auto"/>
        <w:rPr>
          <w:rFonts w:cstheme="minorHAnsi"/>
        </w:rPr>
      </w:pPr>
    </w:p>
    <w:p w14:paraId="447FF95A" w14:textId="77777777" w:rsidR="00274603" w:rsidRDefault="00274603" w:rsidP="000C3A64">
      <w:pPr>
        <w:spacing w:after="60" w:line="240" w:lineRule="auto"/>
        <w:rPr>
          <w:rFonts w:cstheme="minorHAnsi"/>
        </w:rPr>
      </w:pPr>
    </w:p>
    <w:p w14:paraId="6433D60E" w14:textId="77777777" w:rsidR="00274603" w:rsidRDefault="00274603" w:rsidP="000C3A64">
      <w:pPr>
        <w:spacing w:after="60" w:line="240" w:lineRule="auto"/>
        <w:rPr>
          <w:rFonts w:cstheme="minorHAnsi"/>
        </w:rPr>
      </w:pPr>
    </w:p>
    <w:p w14:paraId="4456BE4F" w14:textId="7C8DBA5F" w:rsidR="003F1959" w:rsidRPr="000C3A64" w:rsidRDefault="00D14B2D" w:rsidP="000C3A64">
      <w:pPr>
        <w:spacing w:after="60" w:line="240" w:lineRule="auto"/>
        <w:rPr>
          <w:rFonts w:cstheme="minorHAnsi"/>
          <w:b/>
          <w:bCs/>
        </w:rPr>
      </w:pPr>
      <w:r>
        <w:rPr>
          <w:rFonts w:cstheme="minorHAnsi"/>
        </w:rPr>
        <w:tab/>
      </w:r>
      <w:r>
        <w:rPr>
          <w:rFonts w:cstheme="minorHAnsi"/>
        </w:rPr>
        <w:tab/>
      </w:r>
      <w:r>
        <w:rPr>
          <w:rFonts w:cstheme="minorHAnsi"/>
        </w:rPr>
        <w:tab/>
      </w:r>
      <w:r>
        <w:rPr>
          <w:rFonts w:cstheme="minorHAnsi"/>
        </w:rPr>
        <w:tab/>
      </w:r>
      <w:r>
        <w:rPr>
          <w:rFonts w:cstheme="minorHAnsi"/>
        </w:rPr>
        <w:tab/>
      </w:r>
    </w:p>
    <w:p w14:paraId="4ECFBB1C" w14:textId="77777777" w:rsidR="00116A84" w:rsidRPr="009439E6" w:rsidRDefault="00116A84" w:rsidP="00116A84">
      <w:pPr>
        <w:pStyle w:val="ListParagraph"/>
        <w:numPr>
          <w:ilvl w:val="0"/>
          <w:numId w:val="1"/>
        </w:numPr>
        <w:spacing w:after="60" w:line="240" w:lineRule="auto"/>
        <w:rPr>
          <w:rFonts w:cstheme="minorHAnsi"/>
          <w:b/>
          <w:bCs/>
        </w:rPr>
      </w:pPr>
      <w:r w:rsidRPr="009439E6">
        <w:rPr>
          <w:rFonts w:cstheme="minorHAnsi"/>
          <w:b/>
          <w:bCs/>
        </w:rPr>
        <w:lastRenderedPageBreak/>
        <w:t>Specific requirements</w:t>
      </w:r>
    </w:p>
    <w:p w14:paraId="0D6CFF05" w14:textId="77777777" w:rsidR="001A3E9F" w:rsidRDefault="001A3E9F" w:rsidP="001A3E9F">
      <w:pPr>
        <w:tabs>
          <w:tab w:val="left" w:pos="2663"/>
        </w:tabs>
        <w:spacing w:after="60" w:line="240" w:lineRule="auto"/>
        <w:rPr>
          <w:rFonts w:cstheme="minorHAnsi"/>
        </w:rPr>
      </w:pPr>
      <w:r w:rsidRPr="00116A84">
        <w:rPr>
          <w:rFonts w:cstheme="minorHAnsi"/>
          <w:u w:val="single"/>
        </w:rPr>
        <w:t>Qualifications required</w:t>
      </w:r>
      <w:r>
        <w:rPr>
          <w:rFonts w:cstheme="minorHAnsi"/>
        </w:rPr>
        <w:t>:</w:t>
      </w:r>
      <w:r>
        <w:rPr>
          <w:rFonts w:cstheme="minorHAnsi"/>
        </w:rPr>
        <w:tab/>
      </w:r>
    </w:p>
    <w:p w14:paraId="29801EB0" w14:textId="77777777" w:rsidR="001A3E9F" w:rsidRPr="005C1DAB" w:rsidRDefault="001A3E9F" w:rsidP="001A3E9F">
      <w:pPr>
        <w:pStyle w:val="ListParagraph"/>
        <w:numPr>
          <w:ilvl w:val="0"/>
          <w:numId w:val="8"/>
        </w:numPr>
        <w:spacing w:after="60" w:line="240" w:lineRule="auto"/>
        <w:ind w:left="284" w:hanging="284"/>
        <w:rPr>
          <w:sz w:val="20"/>
          <w:szCs w:val="20"/>
        </w:rPr>
      </w:pPr>
      <w:r w:rsidRPr="005C1DAB">
        <w:rPr>
          <w:sz w:val="20"/>
          <w:szCs w:val="20"/>
        </w:rPr>
        <w:t>Ph.D. in microbiology, molecular biology, organic chemistry or another field related to antibiotic drug discovery</w:t>
      </w:r>
    </w:p>
    <w:p w14:paraId="3325FE6F" w14:textId="77777777" w:rsidR="001A3E9F" w:rsidRDefault="001A3E9F" w:rsidP="001A3E9F">
      <w:pPr>
        <w:spacing w:after="60" w:line="240" w:lineRule="auto"/>
        <w:rPr>
          <w:rFonts w:cstheme="minorHAnsi"/>
        </w:rPr>
      </w:pPr>
      <w:r w:rsidRPr="00116A84">
        <w:rPr>
          <w:rFonts w:cstheme="minorHAnsi"/>
          <w:u w:val="single"/>
        </w:rPr>
        <w:t>Experience required</w:t>
      </w:r>
      <w:r>
        <w:rPr>
          <w:rFonts w:cstheme="minorHAnsi"/>
        </w:rPr>
        <w:t>:</w:t>
      </w:r>
    </w:p>
    <w:p w14:paraId="539EC084" w14:textId="77777777" w:rsidR="001A3E9F" w:rsidRPr="005C1DAB" w:rsidRDefault="001A3E9F" w:rsidP="001A3E9F">
      <w:pPr>
        <w:pStyle w:val="ListParagraph"/>
        <w:numPr>
          <w:ilvl w:val="0"/>
          <w:numId w:val="8"/>
        </w:numPr>
        <w:spacing w:after="60" w:line="240" w:lineRule="auto"/>
        <w:ind w:left="284" w:hanging="284"/>
        <w:rPr>
          <w:sz w:val="20"/>
          <w:szCs w:val="20"/>
        </w:rPr>
      </w:pPr>
      <w:r w:rsidRPr="005C1DAB">
        <w:rPr>
          <w:sz w:val="20"/>
          <w:szCs w:val="20"/>
        </w:rPr>
        <w:t>At least 15 years of relevant experience in the area of microbiology and antibacterial drug R&amp;D.</w:t>
      </w:r>
    </w:p>
    <w:p w14:paraId="0C4C59C7" w14:textId="77777777" w:rsidR="001A3E9F" w:rsidRPr="005C1DAB" w:rsidRDefault="001A3E9F" w:rsidP="001A3E9F">
      <w:pPr>
        <w:pStyle w:val="ListParagraph"/>
        <w:numPr>
          <w:ilvl w:val="0"/>
          <w:numId w:val="8"/>
        </w:numPr>
        <w:spacing w:after="60" w:line="240" w:lineRule="auto"/>
        <w:ind w:left="284" w:hanging="284"/>
        <w:rPr>
          <w:sz w:val="20"/>
          <w:szCs w:val="20"/>
        </w:rPr>
      </w:pPr>
      <w:r w:rsidRPr="005C1DAB">
        <w:rPr>
          <w:sz w:val="20"/>
          <w:szCs w:val="20"/>
        </w:rPr>
        <w:t xml:space="preserve">Strong expertise in Pharmacokinetics/Pharmacodynamics in order to evaluate the effect of dosages and formulations on the effectiveness of drugs and the likeliness of resistances to emerge. </w:t>
      </w:r>
    </w:p>
    <w:p w14:paraId="681CE841" w14:textId="77777777" w:rsidR="001A3E9F" w:rsidRPr="005C1DAB" w:rsidRDefault="001A3E9F" w:rsidP="001A3E9F">
      <w:pPr>
        <w:pStyle w:val="ListParagraph"/>
        <w:numPr>
          <w:ilvl w:val="0"/>
          <w:numId w:val="8"/>
        </w:numPr>
        <w:spacing w:after="60" w:line="240" w:lineRule="auto"/>
        <w:ind w:left="284" w:hanging="284"/>
        <w:rPr>
          <w:sz w:val="20"/>
          <w:szCs w:val="20"/>
        </w:rPr>
      </w:pPr>
      <w:r w:rsidRPr="005C1DAB">
        <w:rPr>
          <w:sz w:val="20"/>
          <w:szCs w:val="20"/>
        </w:rPr>
        <w:t>In-depth understanding of clinical needs in bacterial infections and experience with antibacterial clinical trials</w:t>
      </w:r>
    </w:p>
    <w:p w14:paraId="3806F1F6" w14:textId="77777777" w:rsidR="001A3E9F" w:rsidRPr="005C1DAB" w:rsidRDefault="001A3E9F" w:rsidP="001A3E9F">
      <w:pPr>
        <w:pStyle w:val="ListParagraph"/>
        <w:numPr>
          <w:ilvl w:val="0"/>
          <w:numId w:val="8"/>
        </w:numPr>
        <w:spacing w:after="60" w:line="240" w:lineRule="auto"/>
        <w:ind w:left="284" w:hanging="284"/>
        <w:rPr>
          <w:sz w:val="20"/>
          <w:szCs w:val="20"/>
        </w:rPr>
      </w:pPr>
      <w:r w:rsidRPr="005C1DAB">
        <w:rPr>
          <w:sz w:val="20"/>
          <w:szCs w:val="20"/>
        </w:rPr>
        <w:t>A track record of coordinating international scientific projects, preferably in the field of antibiotic resistance</w:t>
      </w:r>
    </w:p>
    <w:p w14:paraId="7D7D36DE" w14:textId="6C8AA2B7" w:rsidR="001A3E9F" w:rsidRPr="005C1DAB" w:rsidRDefault="001A3E9F" w:rsidP="001A3E9F">
      <w:pPr>
        <w:pStyle w:val="ListParagraph"/>
        <w:numPr>
          <w:ilvl w:val="0"/>
          <w:numId w:val="8"/>
        </w:numPr>
        <w:spacing w:after="60" w:line="240" w:lineRule="auto"/>
        <w:ind w:left="284" w:hanging="284"/>
        <w:rPr>
          <w:sz w:val="20"/>
          <w:szCs w:val="20"/>
        </w:rPr>
      </w:pPr>
      <w:r w:rsidRPr="005C1DAB">
        <w:rPr>
          <w:sz w:val="20"/>
          <w:szCs w:val="20"/>
        </w:rPr>
        <w:t>Experience in communicating research projects and their results to policymakers and the research community</w:t>
      </w:r>
    </w:p>
    <w:p w14:paraId="47AECDF2" w14:textId="77777777" w:rsidR="001A3E9F" w:rsidRPr="005C1DAB" w:rsidRDefault="001A3E9F" w:rsidP="001A3E9F">
      <w:pPr>
        <w:pStyle w:val="ListParagraph"/>
        <w:numPr>
          <w:ilvl w:val="0"/>
          <w:numId w:val="8"/>
        </w:numPr>
        <w:spacing w:after="60" w:line="240" w:lineRule="auto"/>
        <w:ind w:left="284" w:hanging="284"/>
        <w:rPr>
          <w:sz w:val="20"/>
          <w:szCs w:val="20"/>
        </w:rPr>
      </w:pPr>
      <w:r w:rsidRPr="005C1DAB">
        <w:rPr>
          <w:sz w:val="20"/>
          <w:szCs w:val="20"/>
        </w:rPr>
        <w:t>Track record of peer-reviewed publications on antibiotic resistance and drug discovery</w:t>
      </w:r>
    </w:p>
    <w:p w14:paraId="181F9AF4" w14:textId="1D91421D" w:rsidR="001A3E9F" w:rsidRPr="005C1DAB" w:rsidRDefault="001A3E9F" w:rsidP="001A3E9F">
      <w:pPr>
        <w:pStyle w:val="ListParagraph"/>
        <w:numPr>
          <w:ilvl w:val="0"/>
          <w:numId w:val="8"/>
        </w:numPr>
        <w:ind w:left="284" w:hanging="284"/>
        <w:rPr>
          <w:sz w:val="20"/>
          <w:szCs w:val="20"/>
        </w:rPr>
      </w:pPr>
      <w:r w:rsidRPr="005C1DAB">
        <w:rPr>
          <w:sz w:val="20"/>
          <w:szCs w:val="20"/>
        </w:rPr>
        <w:t xml:space="preserve">Good writing skills, </w:t>
      </w:r>
      <w:bookmarkStart w:id="1" w:name="_GoBack"/>
      <w:bookmarkEnd w:id="1"/>
      <w:r w:rsidR="007C4E3D">
        <w:rPr>
          <w:sz w:val="20"/>
          <w:szCs w:val="20"/>
        </w:rPr>
        <w:t xml:space="preserve">the </w:t>
      </w:r>
      <w:r w:rsidRPr="005C1DAB">
        <w:rPr>
          <w:sz w:val="20"/>
          <w:szCs w:val="20"/>
        </w:rPr>
        <w:t>track record of publications on antibiotic resistance and drug discovery</w:t>
      </w:r>
    </w:p>
    <w:p w14:paraId="0F88348C" w14:textId="77777777" w:rsidR="001A3E9F" w:rsidRDefault="001A3E9F" w:rsidP="001A3E9F">
      <w:pPr>
        <w:spacing w:after="60" w:line="240" w:lineRule="auto"/>
        <w:rPr>
          <w:rFonts w:cstheme="minorHAnsi"/>
        </w:rPr>
      </w:pPr>
      <w:r w:rsidRPr="009439E6">
        <w:rPr>
          <w:rFonts w:cstheme="minorHAnsi"/>
          <w:u w:val="single"/>
        </w:rPr>
        <w:t>Language requirements</w:t>
      </w:r>
      <w:r>
        <w:rPr>
          <w:rFonts w:cstheme="minorHAnsi"/>
        </w:rPr>
        <w:t>:</w:t>
      </w:r>
    </w:p>
    <w:p w14:paraId="77549148" w14:textId="77777777" w:rsidR="001A3E9F" w:rsidRDefault="001A3E9F" w:rsidP="001A3E9F">
      <w:pPr>
        <w:pStyle w:val="ListParagraph"/>
        <w:numPr>
          <w:ilvl w:val="0"/>
          <w:numId w:val="9"/>
        </w:numPr>
        <w:spacing w:after="60" w:line="240" w:lineRule="auto"/>
        <w:ind w:left="284" w:hanging="284"/>
        <w:rPr>
          <w:rFonts w:cstheme="minorHAnsi"/>
          <w:sz w:val="20"/>
          <w:szCs w:val="20"/>
        </w:rPr>
      </w:pPr>
      <w:r w:rsidRPr="005C1DAB">
        <w:rPr>
          <w:rFonts w:cstheme="minorHAnsi"/>
          <w:sz w:val="20"/>
          <w:szCs w:val="20"/>
        </w:rPr>
        <w:t>English – proficient (reading, writing, speaking)</w:t>
      </w:r>
    </w:p>
    <w:p w14:paraId="02E1C01C" w14:textId="4B9525ED" w:rsidR="009439E6" w:rsidRDefault="009439E6" w:rsidP="009439E6">
      <w:pPr>
        <w:spacing w:after="60" w:line="240" w:lineRule="auto"/>
        <w:rPr>
          <w:rFonts w:cstheme="minorHAnsi"/>
        </w:rPr>
      </w:pPr>
    </w:p>
    <w:p w14:paraId="2993B2D6" w14:textId="77777777" w:rsidR="00DD12DB" w:rsidRPr="00DD12DB" w:rsidRDefault="00DD12DB" w:rsidP="00DD12DB">
      <w:pPr>
        <w:pStyle w:val="ListParagraph"/>
        <w:numPr>
          <w:ilvl w:val="0"/>
          <w:numId w:val="1"/>
        </w:numPr>
        <w:spacing w:after="60" w:line="240" w:lineRule="auto"/>
        <w:rPr>
          <w:rFonts w:cstheme="minorHAnsi"/>
          <w:b/>
          <w:bCs/>
        </w:rPr>
      </w:pPr>
      <w:r w:rsidRPr="00DD12DB">
        <w:rPr>
          <w:rFonts w:cstheme="minorHAnsi"/>
          <w:b/>
          <w:bCs/>
        </w:rPr>
        <w:t>Place of assignment</w:t>
      </w:r>
    </w:p>
    <w:p w14:paraId="3C34B0BF" w14:textId="638BF1D2" w:rsidR="001A3E9F" w:rsidRDefault="001A3E9F" w:rsidP="001A3E9F">
      <w:pPr>
        <w:spacing w:after="60"/>
        <w:rPr>
          <w:rFonts w:cstheme="minorHAnsi"/>
          <w:sz w:val="20"/>
          <w:szCs w:val="20"/>
        </w:rPr>
      </w:pPr>
      <w:r w:rsidRPr="001A3E9F">
        <w:rPr>
          <w:rFonts w:cstheme="minorHAnsi"/>
          <w:sz w:val="20"/>
          <w:szCs w:val="20"/>
        </w:rPr>
        <w:t xml:space="preserve">Most of the work under this consultancy will be home-based and carried out at the consultant’s usual place of residence. One travel to </w:t>
      </w:r>
      <w:proofErr w:type="spellStart"/>
      <w:r w:rsidRPr="001A3E9F">
        <w:rPr>
          <w:rFonts w:cstheme="minorHAnsi"/>
          <w:sz w:val="20"/>
          <w:szCs w:val="20"/>
        </w:rPr>
        <w:t>Ho</w:t>
      </w:r>
      <w:proofErr w:type="spellEnd"/>
      <w:r w:rsidRPr="001A3E9F">
        <w:rPr>
          <w:rFonts w:cstheme="minorHAnsi"/>
          <w:sz w:val="20"/>
          <w:szCs w:val="20"/>
        </w:rPr>
        <w:t xml:space="preserve"> Chi Minh City, Vietnam in 2020 and one travel to Geneva, Switzerland</w:t>
      </w:r>
      <w:r w:rsidR="00350162">
        <w:rPr>
          <w:rFonts w:cstheme="minorHAnsi"/>
          <w:sz w:val="20"/>
          <w:szCs w:val="20"/>
        </w:rPr>
        <w:t xml:space="preserve"> (or another venue)</w:t>
      </w:r>
      <w:r w:rsidRPr="001A3E9F">
        <w:rPr>
          <w:rFonts w:cstheme="minorHAnsi"/>
          <w:sz w:val="20"/>
          <w:szCs w:val="20"/>
        </w:rPr>
        <w:t xml:space="preserve"> in 2021 for the advisory group meetings. </w:t>
      </w:r>
    </w:p>
    <w:p w14:paraId="7502F725" w14:textId="77777777" w:rsidR="001A3E9F" w:rsidRPr="001A3E9F" w:rsidRDefault="001A3E9F" w:rsidP="001A3E9F">
      <w:pPr>
        <w:pStyle w:val="ListParagraph"/>
        <w:spacing w:after="60" w:line="240" w:lineRule="auto"/>
        <w:ind w:left="360"/>
        <w:rPr>
          <w:rFonts w:cstheme="minorHAnsi"/>
        </w:rPr>
      </w:pPr>
    </w:p>
    <w:p w14:paraId="434A5F1C" w14:textId="1554E5DC" w:rsidR="001A3E9F" w:rsidRPr="00544172" w:rsidRDefault="001A3E9F" w:rsidP="001A3E9F">
      <w:pPr>
        <w:pStyle w:val="ListParagraph"/>
        <w:numPr>
          <w:ilvl w:val="0"/>
          <w:numId w:val="1"/>
        </w:numPr>
        <w:spacing w:after="60" w:line="240" w:lineRule="auto"/>
        <w:rPr>
          <w:rFonts w:cstheme="minorHAnsi"/>
        </w:rPr>
      </w:pPr>
      <w:r w:rsidRPr="00544172">
        <w:rPr>
          <w:rFonts w:cstheme="minorHAnsi"/>
          <w:b/>
          <w:bCs/>
        </w:rPr>
        <w:t>Medical clearance</w:t>
      </w:r>
      <w:r w:rsidRPr="00544172">
        <w:rPr>
          <w:rFonts w:cstheme="minorHAnsi"/>
        </w:rPr>
        <w:t xml:space="preserve"> </w:t>
      </w:r>
    </w:p>
    <w:p w14:paraId="172F86D9" w14:textId="77777777" w:rsidR="001A3E9F" w:rsidRDefault="001A3E9F" w:rsidP="001A3E9F">
      <w:pPr>
        <w:spacing w:after="60" w:line="240" w:lineRule="auto"/>
        <w:rPr>
          <w:rFonts w:cstheme="minorHAnsi"/>
        </w:rPr>
      </w:pPr>
      <w:r w:rsidRPr="005C1DAB">
        <w:rPr>
          <w:rFonts w:cstheme="minorHAnsi"/>
          <w:sz w:val="20"/>
          <w:szCs w:val="20"/>
        </w:rPr>
        <w:t>The selected Consultant will be expected to provide a medical certificate of fitness for work.</w:t>
      </w:r>
    </w:p>
    <w:p w14:paraId="173C020C" w14:textId="77777777" w:rsidR="001A3E9F" w:rsidRPr="001A3E9F" w:rsidRDefault="001A3E9F" w:rsidP="001A3E9F">
      <w:pPr>
        <w:spacing w:after="60"/>
        <w:rPr>
          <w:rFonts w:cstheme="minorHAnsi"/>
          <w:sz w:val="20"/>
          <w:szCs w:val="20"/>
        </w:rPr>
      </w:pPr>
    </w:p>
    <w:p w14:paraId="1734C3D4" w14:textId="77777777" w:rsidR="00DD12DB" w:rsidRPr="00DD12DB" w:rsidRDefault="00DD12DB" w:rsidP="00DD12DB">
      <w:pPr>
        <w:pStyle w:val="ListParagraph"/>
        <w:numPr>
          <w:ilvl w:val="0"/>
          <w:numId w:val="1"/>
        </w:numPr>
        <w:spacing w:after="60" w:line="240" w:lineRule="auto"/>
        <w:rPr>
          <w:rFonts w:cstheme="minorHAnsi"/>
          <w:b/>
          <w:bCs/>
        </w:rPr>
      </w:pPr>
      <w:r w:rsidRPr="00DD12DB">
        <w:rPr>
          <w:rFonts w:cstheme="minorHAnsi"/>
          <w:b/>
          <w:bCs/>
        </w:rPr>
        <w:t>Travel</w:t>
      </w:r>
    </w:p>
    <w:p w14:paraId="4A0CAF22" w14:textId="77777777" w:rsidR="001A3E9F" w:rsidRPr="001A3E9F" w:rsidRDefault="001A3E9F" w:rsidP="001A3E9F">
      <w:pPr>
        <w:spacing w:after="60" w:line="240" w:lineRule="auto"/>
        <w:rPr>
          <w:rFonts w:cstheme="minorHAnsi"/>
        </w:rPr>
      </w:pPr>
      <w:r w:rsidRPr="001A3E9F">
        <w:rPr>
          <w:rFonts w:cstheme="minorHAnsi"/>
        </w:rPr>
        <w:t>The Consultant is expected to travel according to the itinerary and estimated schedule below:</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85"/>
        <w:gridCol w:w="1380"/>
        <w:gridCol w:w="439"/>
        <w:gridCol w:w="1377"/>
        <w:gridCol w:w="5860"/>
      </w:tblGrid>
      <w:tr w:rsidR="001A3E9F" w:rsidRPr="009E5FD1" w14:paraId="22645460" w14:textId="77777777" w:rsidTr="00427DC9">
        <w:tc>
          <w:tcPr>
            <w:tcW w:w="3936" w:type="dxa"/>
            <w:gridSpan w:val="4"/>
          </w:tcPr>
          <w:p w14:paraId="63A77827" w14:textId="77777777" w:rsidR="001A3E9F" w:rsidRPr="009E5FD1" w:rsidRDefault="001A3E9F" w:rsidP="00427DC9">
            <w:pPr>
              <w:spacing w:after="60"/>
              <w:jc w:val="center"/>
              <w:rPr>
                <w:rFonts w:cstheme="minorHAnsi"/>
                <w:b/>
                <w:bCs/>
                <w:sz w:val="20"/>
                <w:szCs w:val="20"/>
              </w:rPr>
            </w:pPr>
            <w:r w:rsidRPr="009E5FD1">
              <w:rPr>
                <w:rFonts w:cstheme="minorHAnsi"/>
                <w:b/>
                <w:bCs/>
                <w:sz w:val="20"/>
                <w:szCs w:val="20"/>
              </w:rPr>
              <w:t>Travel dates</w:t>
            </w:r>
          </w:p>
        </w:tc>
        <w:tc>
          <w:tcPr>
            <w:tcW w:w="6031" w:type="dxa"/>
          </w:tcPr>
          <w:p w14:paraId="2AB950FA" w14:textId="77777777" w:rsidR="001A3E9F" w:rsidRPr="009E5FD1" w:rsidRDefault="001A3E9F" w:rsidP="00427DC9">
            <w:pPr>
              <w:spacing w:after="60"/>
              <w:rPr>
                <w:rFonts w:cstheme="minorHAnsi"/>
                <w:b/>
                <w:bCs/>
                <w:sz w:val="20"/>
                <w:szCs w:val="20"/>
              </w:rPr>
            </w:pPr>
            <w:r w:rsidRPr="009E5FD1">
              <w:rPr>
                <w:rFonts w:cstheme="minorHAnsi"/>
                <w:b/>
                <w:bCs/>
                <w:sz w:val="20"/>
                <w:szCs w:val="20"/>
              </w:rPr>
              <w:t>Location:</w:t>
            </w:r>
          </w:p>
        </w:tc>
      </w:tr>
      <w:tr w:rsidR="001A3E9F" w:rsidRPr="005C1DAB" w14:paraId="23F7FFA0" w14:textId="77777777" w:rsidTr="00427DC9">
        <w:tc>
          <w:tcPr>
            <w:tcW w:w="686" w:type="dxa"/>
          </w:tcPr>
          <w:p w14:paraId="7E059A46" w14:textId="77777777" w:rsidR="001A3E9F" w:rsidRPr="005C1DAB" w:rsidRDefault="001A3E9F" w:rsidP="00427DC9">
            <w:pPr>
              <w:spacing w:after="60"/>
              <w:rPr>
                <w:rFonts w:cstheme="minorHAnsi"/>
                <w:sz w:val="20"/>
                <w:szCs w:val="20"/>
              </w:rPr>
            </w:pPr>
            <w:r w:rsidRPr="005C1DAB">
              <w:rPr>
                <w:rFonts w:cstheme="minorHAnsi"/>
                <w:sz w:val="20"/>
                <w:szCs w:val="20"/>
              </w:rPr>
              <w:t>From</w:t>
            </w:r>
          </w:p>
        </w:tc>
        <w:tc>
          <w:tcPr>
            <w:tcW w:w="1407" w:type="dxa"/>
          </w:tcPr>
          <w:p w14:paraId="37FC607F" w14:textId="77777777" w:rsidR="001A3E9F" w:rsidRPr="005C1DAB" w:rsidRDefault="001A3E9F" w:rsidP="00427DC9">
            <w:pPr>
              <w:spacing w:after="60"/>
              <w:rPr>
                <w:rFonts w:cstheme="minorHAnsi"/>
                <w:sz w:val="20"/>
                <w:szCs w:val="20"/>
              </w:rPr>
            </w:pPr>
            <w:r>
              <w:rPr>
                <w:rFonts w:cstheme="minorHAnsi"/>
                <w:sz w:val="20"/>
                <w:szCs w:val="20"/>
              </w:rPr>
              <w:t>Nov 2020</w:t>
            </w:r>
          </w:p>
        </w:tc>
        <w:tc>
          <w:tcPr>
            <w:tcW w:w="440" w:type="dxa"/>
          </w:tcPr>
          <w:p w14:paraId="680EC5B8" w14:textId="77777777" w:rsidR="001A3E9F" w:rsidRPr="005C1DAB" w:rsidRDefault="001A3E9F" w:rsidP="00427DC9">
            <w:pPr>
              <w:spacing w:after="60"/>
              <w:rPr>
                <w:rFonts w:cstheme="minorHAnsi"/>
                <w:sz w:val="20"/>
                <w:szCs w:val="20"/>
              </w:rPr>
            </w:pPr>
            <w:r w:rsidRPr="005C1DAB">
              <w:rPr>
                <w:rFonts w:cstheme="minorHAnsi"/>
                <w:sz w:val="20"/>
                <w:szCs w:val="20"/>
              </w:rPr>
              <w:t>To</w:t>
            </w:r>
          </w:p>
        </w:tc>
        <w:tc>
          <w:tcPr>
            <w:tcW w:w="1403" w:type="dxa"/>
          </w:tcPr>
          <w:p w14:paraId="19C41F07" w14:textId="77777777" w:rsidR="001A3E9F" w:rsidRPr="005C1DAB" w:rsidRDefault="001A3E9F" w:rsidP="00427DC9">
            <w:pPr>
              <w:spacing w:after="60"/>
              <w:rPr>
                <w:rFonts w:cstheme="minorHAnsi"/>
                <w:sz w:val="20"/>
                <w:szCs w:val="20"/>
              </w:rPr>
            </w:pPr>
            <w:r>
              <w:rPr>
                <w:rFonts w:cstheme="minorHAnsi"/>
                <w:sz w:val="20"/>
                <w:szCs w:val="20"/>
              </w:rPr>
              <w:t>Nov 2020</w:t>
            </w:r>
          </w:p>
        </w:tc>
        <w:tc>
          <w:tcPr>
            <w:tcW w:w="6031" w:type="dxa"/>
          </w:tcPr>
          <w:p w14:paraId="13E71AB3" w14:textId="77777777" w:rsidR="001A3E9F" w:rsidRPr="005C1DAB" w:rsidRDefault="001A3E9F" w:rsidP="00427DC9">
            <w:pPr>
              <w:spacing w:after="60"/>
              <w:rPr>
                <w:rFonts w:cstheme="minorHAnsi"/>
                <w:sz w:val="20"/>
                <w:szCs w:val="20"/>
              </w:rPr>
            </w:pPr>
            <w:proofErr w:type="spellStart"/>
            <w:r>
              <w:rPr>
                <w:rFonts w:cstheme="minorHAnsi"/>
                <w:sz w:val="20"/>
                <w:szCs w:val="20"/>
              </w:rPr>
              <w:t>Ho</w:t>
            </w:r>
            <w:proofErr w:type="spellEnd"/>
            <w:r>
              <w:rPr>
                <w:rFonts w:cstheme="minorHAnsi"/>
                <w:sz w:val="20"/>
                <w:szCs w:val="20"/>
              </w:rPr>
              <w:t xml:space="preserve"> Chi Minh City, Vietnam</w:t>
            </w:r>
          </w:p>
        </w:tc>
      </w:tr>
      <w:tr w:rsidR="001A3E9F" w:rsidRPr="005C1DAB" w14:paraId="5BCEA162" w14:textId="77777777" w:rsidTr="00427DC9">
        <w:tc>
          <w:tcPr>
            <w:tcW w:w="2093" w:type="dxa"/>
            <w:gridSpan w:val="2"/>
          </w:tcPr>
          <w:p w14:paraId="7C16523F" w14:textId="77777777" w:rsidR="001A3E9F" w:rsidRPr="005C1DAB" w:rsidRDefault="001A3E9F" w:rsidP="00427DC9">
            <w:pPr>
              <w:spacing w:after="60"/>
              <w:rPr>
                <w:rFonts w:cstheme="minorHAnsi"/>
                <w:b/>
                <w:bCs/>
                <w:sz w:val="20"/>
                <w:szCs w:val="20"/>
              </w:rPr>
            </w:pPr>
            <w:r w:rsidRPr="005C1DAB">
              <w:rPr>
                <w:rFonts w:cstheme="minorHAnsi"/>
                <w:b/>
                <w:bCs/>
                <w:sz w:val="20"/>
                <w:szCs w:val="20"/>
              </w:rPr>
              <w:t>Purpose:</w:t>
            </w:r>
          </w:p>
        </w:tc>
        <w:tc>
          <w:tcPr>
            <w:tcW w:w="7874" w:type="dxa"/>
            <w:gridSpan w:val="3"/>
          </w:tcPr>
          <w:p w14:paraId="7F5E32C5" w14:textId="77777777" w:rsidR="001A3E9F" w:rsidRPr="005C1DAB" w:rsidRDefault="001A3E9F" w:rsidP="00427DC9">
            <w:pPr>
              <w:spacing w:after="60"/>
              <w:rPr>
                <w:rFonts w:cstheme="minorHAnsi"/>
                <w:sz w:val="20"/>
                <w:szCs w:val="20"/>
              </w:rPr>
            </w:pPr>
            <w:r w:rsidRPr="005C1DAB">
              <w:rPr>
                <w:rFonts w:cstheme="minorHAnsi"/>
                <w:sz w:val="20"/>
                <w:szCs w:val="20"/>
              </w:rPr>
              <w:t xml:space="preserve">Advisory Group meeting </w:t>
            </w:r>
            <w:r>
              <w:rPr>
                <w:rFonts w:cstheme="minorHAnsi"/>
                <w:sz w:val="20"/>
                <w:szCs w:val="20"/>
              </w:rPr>
              <w:t>2020</w:t>
            </w:r>
          </w:p>
        </w:tc>
      </w:tr>
    </w:tbl>
    <w:p w14:paraId="21120325" w14:textId="77777777" w:rsidR="001A3E9F" w:rsidRPr="001A3E9F" w:rsidRDefault="001A3E9F" w:rsidP="001A3E9F">
      <w:pPr>
        <w:pStyle w:val="ListParagraph"/>
        <w:spacing w:after="60" w:line="240" w:lineRule="auto"/>
        <w:ind w:left="360"/>
        <w:rPr>
          <w:rFonts w:cstheme="minorHAnsi"/>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84"/>
        <w:gridCol w:w="1388"/>
        <w:gridCol w:w="439"/>
        <w:gridCol w:w="1384"/>
        <w:gridCol w:w="5846"/>
      </w:tblGrid>
      <w:tr w:rsidR="001A3E9F" w:rsidRPr="005C1DAB" w14:paraId="1A94DAE3" w14:textId="77777777" w:rsidTr="00427DC9">
        <w:tc>
          <w:tcPr>
            <w:tcW w:w="3936" w:type="dxa"/>
            <w:gridSpan w:val="4"/>
          </w:tcPr>
          <w:p w14:paraId="4B0F746A" w14:textId="77777777" w:rsidR="001A3E9F" w:rsidRPr="005C1DAB" w:rsidRDefault="001A3E9F" w:rsidP="00427DC9">
            <w:pPr>
              <w:spacing w:after="60"/>
              <w:jc w:val="center"/>
              <w:rPr>
                <w:rFonts w:cstheme="minorHAnsi"/>
                <w:b/>
                <w:bCs/>
                <w:sz w:val="20"/>
                <w:szCs w:val="20"/>
              </w:rPr>
            </w:pPr>
            <w:r w:rsidRPr="005C1DAB">
              <w:rPr>
                <w:rFonts w:cstheme="minorHAnsi"/>
                <w:b/>
                <w:bCs/>
                <w:sz w:val="20"/>
                <w:szCs w:val="20"/>
              </w:rPr>
              <w:t>Travel dates</w:t>
            </w:r>
          </w:p>
        </w:tc>
        <w:tc>
          <w:tcPr>
            <w:tcW w:w="6031" w:type="dxa"/>
          </w:tcPr>
          <w:p w14:paraId="2AF1D569" w14:textId="77777777" w:rsidR="001A3E9F" w:rsidRPr="005C1DAB" w:rsidRDefault="001A3E9F" w:rsidP="00427DC9">
            <w:pPr>
              <w:spacing w:after="60"/>
              <w:rPr>
                <w:rFonts w:cstheme="minorHAnsi"/>
                <w:b/>
                <w:bCs/>
                <w:sz w:val="20"/>
                <w:szCs w:val="20"/>
              </w:rPr>
            </w:pPr>
            <w:r w:rsidRPr="005C1DAB">
              <w:rPr>
                <w:rFonts w:cstheme="minorHAnsi"/>
                <w:b/>
                <w:bCs/>
                <w:sz w:val="20"/>
                <w:szCs w:val="20"/>
              </w:rPr>
              <w:t>Location:</w:t>
            </w:r>
          </w:p>
        </w:tc>
      </w:tr>
      <w:tr w:rsidR="001A3E9F" w:rsidRPr="005C1DAB" w14:paraId="07A61ABA" w14:textId="77777777" w:rsidTr="00427DC9">
        <w:tc>
          <w:tcPr>
            <w:tcW w:w="686" w:type="dxa"/>
          </w:tcPr>
          <w:p w14:paraId="5B9E03B7" w14:textId="77777777" w:rsidR="001A3E9F" w:rsidRPr="005C1DAB" w:rsidRDefault="001A3E9F" w:rsidP="00427DC9">
            <w:pPr>
              <w:spacing w:after="60"/>
              <w:rPr>
                <w:rFonts w:cstheme="minorHAnsi"/>
                <w:sz w:val="20"/>
                <w:szCs w:val="20"/>
              </w:rPr>
            </w:pPr>
            <w:r w:rsidRPr="005C1DAB">
              <w:rPr>
                <w:rFonts w:cstheme="minorHAnsi"/>
                <w:sz w:val="20"/>
                <w:szCs w:val="20"/>
              </w:rPr>
              <w:t>From</w:t>
            </w:r>
          </w:p>
        </w:tc>
        <w:tc>
          <w:tcPr>
            <w:tcW w:w="1407" w:type="dxa"/>
          </w:tcPr>
          <w:p w14:paraId="580167BC" w14:textId="77777777" w:rsidR="001A3E9F" w:rsidRDefault="001A3E9F" w:rsidP="00427DC9">
            <w:pPr>
              <w:spacing w:after="60"/>
              <w:rPr>
                <w:rFonts w:cstheme="minorHAnsi"/>
                <w:sz w:val="20"/>
                <w:szCs w:val="20"/>
              </w:rPr>
            </w:pPr>
            <w:r>
              <w:rPr>
                <w:rFonts w:cstheme="minorHAnsi"/>
                <w:sz w:val="20"/>
                <w:szCs w:val="20"/>
              </w:rPr>
              <w:t>Oct/Nov</w:t>
            </w:r>
          </w:p>
          <w:p w14:paraId="48F5727C" w14:textId="77777777" w:rsidR="001A3E9F" w:rsidRPr="005C1DAB" w:rsidRDefault="001A3E9F" w:rsidP="00427DC9">
            <w:pPr>
              <w:spacing w:after="60"/>
              <w:rPr>
                <w:rFonts w:cstheme="minorHAnsi"/>
                <w:sz w:val="20"/>
                <w:szCs w:val="20"/>
              </w:rPr>
            </w:pPr>
            <w:r>
              <w:rPr>
                <w:rFonts w:cstheme="minorHAnsi"/>
                <w:sz w:val="20"/>
                <w:szCs w:val="20"/>
              </w:rPr>
              <w:t>2021</w:t>
            </w:r>
          </w:p>
        </w:tc>
        <w:tc>
          <w:tcPr>
            <w:tcW w:w="440" w:type="dxa"/>
          </w:tcPr>
          <w:p w14:paraId="0B35DB10" w14:textId="77777777" w:rsidR="001A3E9F" w:rsidRPr="005C1DAB" w:rsidRDefault="001A3E9F" w:rsidP="00427DC9">
            <w:pPr>
              <w:spacing w:after="60"/>
              <w:rPr>
                <w:rFonts w:cstheme="minorHAnsi"/>
                <w:sz w:val="20"/>
                <w:szCs w:val="20"/>
              </w:rPr>
            </w:pPr>
            <w:r w:rsidRPr="005C1DAB">
              <w:rPr>
                <w:rFonts w:cstheme="minorHAnsi"/>
                <w:sz w:val="20"/>
                <w:szCs w:val="20"/>
              </w:rPr>
              <w:t>To</w:t>
            </w:r>
          </w:p>
        </w:tc>
        <w:tc>
          <w:tcPr>
            <w:tcW w:w="1403" w:type="dxa"/>
          </w:tcPr>
          <w:p w14:paraId="2C21AA63" w14:textId="77777777" w:rsidR="001A3E9F" w:rsidRDefault="001A3E9F" w:rsidP="00427DC9">
            <w:pPr>
              <w:spacing w:after="60"/>
              <w:rPr>
                <w:rFonts w:cstheme="minorHAnsi"/>
                <w:sz w:val="20"/>
                <w:szCs w:val="20"/>
              </w:rPr>
            </w:pPr>
            <w:r>
              <w:rPr>
                <w:rFonts w:cstheme="minorHAnsi"/>
                <w:sz w:val="20"/>
                <w:szCs w:val="20"/>
              </w:rPr>
              <w:t>Oct/Nov</w:t>
            </w:r>
          </w:p>
          <w:p w14:paraId="22926CF0" w14:textId="77777777" w:rsidR="001A3E9F" w:rsidRPr="005C1DAB" w:rsidRDefault="001A3E9F" w:rsidP="00427DC9">
            <w:pPr>
              <w:spacing w:after="60"/>
              <w:rPr>
                <w:rFonts w:cstheme="minorHAnsi"/>
                <w:sz w:val="20"/>
                <w:szCs w:val="20"/>
              </w:rPr>
            </w:pPr>
            <w:r>
              <w:rPr>
                <w:rFonts w:cstheme="minorHAnsi"/>
                <w:sz w:val="20"/>
                <w:szCs w:val="20"/>
              </w:rPr>
              <w:t>2021</w:t>
            </w:r>
          </w:p>
        </w:tc>
        <w:tc>
          <w:tcPr>
            <w:tcW w:w="6031" w:type="dxa"/>
          </w:tcPr>
          <w:p w14:paraId="6669E5E9" w14:textId="77777777" w:rsidR="001A3E9F" w:rsidRPr="005C1DAB" w:rsidRDefault="001A3E9F" w:rsidP="00427DC9">
            <w:pPr>
              <w:spacing w:after="60"/>
              <w:rPr>
                <w:rFonts w:cstheme="minorHAnsi"/>
                <w:sz w:val="20"/>
                <w:szCs w:val="20"/>
              </w:rPr>
            </w:pPr>
            <w:r w:rsidRPr="005C1DAB">
              <w:rPr>
                <w:rFonts w:cstheme="minorHAnsi"/>
                <w:sz w:val="20"/>
                <w:szCs w:val="20"/>
              </w:rPr>
              <w:t>Geneva, Switzerland</w:t>
            </w:r>
          </w:p>
        </w:tc>
      </w:tr>
      <w:tr w:rsidR="001A3E9F" w:rsidRPr="009E5FD1" w14:paraId="308F9BCC" w14:textId="77777777" w:rsidTr="00427DC9">
        <w:tc>
          <w:tcPr>
            <w:tcW w:w="2093" w:type="dxa"/>
            <w:gridSpan w:val="2"/>
          </w:tcPr>
          <w:p w14:paraId="0A5C0773" w14:textId="77777777" w:rsidR="001A3E9F" w:rsidRPr="005C1DAB" w:rsidRDefault="001A3E9F" w:rsidP="00427DC9">
            <w:pPr>
              <w:spacing w:after="60"/>
              <w:rPr>
                <w:rFonts w:cstheme="minorHAnsi"/>
                <w:b/>
                <w:bCs/>
                <w:sz w:val="20"/>
                <w:szCs w:val="20"/>
              </w:rPr>
            </w:pPr>
            <w:r w:rsidRPr="005C1DAB">
              <w:rPr>
                <w:rFonts w:cstheme="minorHAnsi"/>
                <w:b/>
                <w:bCs/>
                <w:sz w:val="20"/>
                <w:szCs w:val="20"/>
              </w:rPr>
              <w:t>Purpose:</w:t>
            </w:r>
          </w:p>
        </w:tc>
        <w:tc>
          <w:tcPr>
            <w:tcW w:w="7874" w:type="dxa"/>
            <w:gridSpan w:val="3"/>
          </w:tcPr>
          <w:p w14:paraId="07966AE6" w14:textId="77777777" w:rsidR="001A3E9F" w:rsidRPr="005C1DAB" w:rsidRDefault="001A3E9F" w:rsidP="00427DC9">
            <w:pPr>
              <w:spacing w:after="60"/>
              <w:rPr>
                <w:rFonts w:cstheme="minorHAnsi"/>
                <w:sz w:val="20"/>
                <w:szCs w:val="20"/>
              </w:rPr>
            </w:pPr>
            <w:r>
              <w:rPr>
                <w:rFonts w:cstheme="minorHAnsi"/>
                <w:sz w:val="20"/>
                <w:szCs w:val="20"/>
              </w:rPr>
              <w:t>Advisory Group meeting 2021</w:t>
            </w:r>
          </w:p>
        </w:tc>
      </w:tr>
    </w:tbl>
    <w:p w14:paraId="1058BB54" w14:textId="77777777" w:rsidR="001A3E9F" w:rsidRPr="001A3E9F" w:rsidRDefault="001A3E9F" w:rsidP="001A3E9F">
      <w:pPr>
        <w:spacing w:after="60" w:line="240" w:lineRule="auto"/>
        <w:rPr>
          <w:rFonts w:cstheme="minorHAnsi"/>
        </w:rPr>
      </w:pPr>
    </w:p>
    <w:p w14:paraId="37172D4E" w14:textId="77777777" w:rsidR="001A3E9F" w:rsidRPr="001A3E9F" w:rsidRDefault="001A3E9F" w:rsidP="001A3E9F">
      <w:pPr>
        <w:spacing w:after="60" w:line="240" w:lineRule="auto"/>
        <w:rPr>
          <w:rFonts w:cstheme="minorHAnsi"/>
          <w:i/>
          <w:iCs/>
          <w:sz w:val="18"/>
          <w:szCs w:val="18"/>
        </w:rPr>
      </w:pPr>
      <w:r w:rsidRPr="001A3E9F">
        <w:rPr>
          <w:rFonts w:cstheme="minorHAnsi"/>
          <w:i/>
          <w:iCs/>
          <w:sz w:val="18"/>
          <w:szCs w:val="18"/>
        </w:rPr>
        <w:t xml:space="preserve">All </w:t>
      </w:r>
      <w:r w:rsidRPr="001A3E9F">
        <w:rPr>
          <w:rFonts w:cstheme="minorHAnsi"/>
          <w:b/>
          <w:bCs/>
          <w:i/>
          <w:iCs/>
          <w:sz w:val="18"/>
          <w:szCs w:val="18"/>
        </w:rPr>
        <w:t>travel arrangements</w:t>
      </w:r>
      <w:r w:rsidRPr="001A3E9F">
        <w:rPr>
          <w:rFonts w:cstheme="minorHAnsi"/>
          <w:i/>
          <w:iCs/>
          <w:sz w:val="18"/>
          <w:szCs w:val="18"/>
        </w:rPr>
        <w:t xml:space="preserve"> will be made by WHO – WHO will not be responsible for tickets purchased by the Consultant without the express, prior authorization of WHO. While on mission under the terms of this consultancy, the Consultant will receive </w:t>
      </w:r>
      <w:r w:rsidRPr="001A3E9F">
        <w:rPr>
          <w:rFonts w:cstheme="minorHAnsi"/>
          <w:b/>
          <w:bCs/>
          <w:i/>
          <w:iCs/>
          <w:sz w:val="18"/>
          <w:szCs w:val="18"/>
        </w:rPr>
        <w:t>subsistence allowance</w:t>
      </w:r>
      <w:r w:rsidRPr="001A3E9F">
        <w:rPr>
          <w:rFonts w:cstheme="minorHAnsi"/>
          <w:i/>
          <w:iCs/>
          <w:sz w:val="18"/>
          <w:szCs w:val="18"/>
        </w:rPr>
        <w:t>.</w:t>
      </w:r>
    </w:p>
    <w:p w14:paraId="0F31CE20" w14:textId="77777777" w:rsidR="001A3E9F" w:rsidRPr="001A3E9F" w:rsidRDefault="001A3E9F" w:rsidP="001A3E9F">
      <w:pPr>
        <w:spacing w:after="60" w:line="240" w:lineRule="auto"/>
        <w:rPr>
          <w:rFonts w:cstheme="minorHAnsi"/>
          <w:i/>
          <w:iCs/>
          <w:sz w:val="18"/>
          <w:szCs w:val="18"/>
        </w:rPr>
      </w:pPr>
      <w:r w:rsidRPr="001A3E9F">
        <w:rPr>
          <w:rFonts w:cstheme="minorHAnsi"/>
          <w:i/>
          <w:iCs/>
          <w:sz w:val="18"/>
          <w:szCs w:val="18"/>
        </w:rPr>
        <w:t xml:space="preserve">Visas requirements: it is the consultant’s responsibility to fulfil  </w:t>
      </w:r>
      <w:r w:rsidRPr="001A3E9F">
        <w:rPr>
          <w:rFonts w:cstheme="minorHAnsi"/>
          <w:b/>
          <w:bCs/>
          <w:i/>
          <w:iCs/>
          <w:sz w:val="18"/>
          <w:szCs w:val="18"/>
        </w:rPr>
        <w:t>visa requirements</w:t>
      </w:r>
      <w:r w:rsidRPr="001A3E9F">
        <w:rPr>
          <w:rFonts w:cstheme="minorHAnsi"/>
          <w:i/>
          <w:iCs/>
          <w:sz w:val="18"/>
          <w:szCs w:val="18"/>
        </w:rPr>
        <w:t xml:space="preserve"> and ask for visa support letter(s) if needed.</w:t>
      </w:r>
    </w:p>
    <w:p w14:paraId="0377E36C" w14:textId="77777777" w:rsidR="00A15557" w:rsidRDefault="00A15557" w:rsidP="009E5FD1">
      <w:pPr>
        <w:spacing w:after="60" w:line="240" w:lineRule="auto"/>
        <w:rPr>
          <w:rFonts w:cstheme="minorHAnsi"/>
          <w:i/>
          <w:iCs/>
          <w:sz w:val="18"/>
          <w:szCs w:val="18"/>
        </w:rPr>
      </w:pPr>
    </w:p>
    <w:p w14:paraId="683807AE" w14:textId="77777777" w:rsidR="00544172" w:rsidRPr="00DA032E" w:rsidRDefault="00544172" w:rsidP="00DA032E">
      <w:pPr>
        <w:jc w:val="right"/>
        <w:rPr>
          <w:rFonts w:cstheme="minorHAnsi"/>
        </w:rPr>
      </w:pPr>
    </w:p>
    <w:sectPr w:rsidR="00544172" w:rsidRPr="00DA032E" w:rsidSect="000004D1">
      <w:footerReference w:type="default" r:id="rId14"/>
      <w:pgSz w:w="11906" w:h="16838"/>
      <w:pgMar w:top="1134" w:right="1021"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F5CDD7" w14:textId="77777777" w:rsidR="006224BF" w:rsidRDefault="006224BF" w:rsidP="00116345">
      <w:pPr>
        <w:spacing w:after="0" w:line="240" w:lineRule="auto"/>
      </w:pPr>
      <w:r>
        <w:separator/>
      </w:r>
    </w:p>
  </w:endnote>
  <w:endnote w:type="continuationSeparator" w:id="0">
    <w:p w14:paraId="637F24D9" w14:textId="77777777" w:rsidR="006224BF" w:rsidRDefault="006224BF" w:rsidP="001163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00000287" w:usb1="08070000" w:usb2="00000010"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Helvetica">
    <w:altName w:val="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B14F1" w14:textId="77777777" w:rsidR="007741FF" w:rsidRDefault="007741FF" w:rsidP="00D14B2D">
    <w:pPr>
      <w:pStyle w:val="Footer"/>
      <w:jc w:val="right"/>
      <w:rPr>
        <w:b/>
        <w:bCs/>
        <w:color w:val="808080" w:themeColor="background1" w:themeShade="80"/>
        <w:sz w:val="14"/>
        <w:szCs w:val="14"/>
      </w:rPr>
    </w:pPr>
    <w:proofErr w:type="spellStart"/>
    <w:r w:rsidRPr="00116345">
      <w:rPr>
        <w:b/>
        <w:bCs/>
        <w:color w:val="808080" w:themeColor="background1" w:themeShade="80"/>
        <w:sz w:val="14"/>
        <w:szCs w:val="14"/>
      </w:rPr>
      <w:t>Consultants_</w:t>
    </w:r>
    <w:r>
      <w:rPr>
        <w:b/>
        <w:bCs/>
        <w:color w:val="808080" w:themeColor="background1" w:themeShade="80"/>
        <w:sz w:val="14"/>
        <w:szCs w:val="14"/>
      </w:rPr>
      <w:t>FINAL</w:t>
    </w:r>
    <w:proofErr w:type="spellEnd"/>
    <w:r>
      <w:rPr>
        <w:b/>
        <w:bCs/>
        <w:color w:val="808080" w:themeColor="background1" w:themeShade="80"/>
        <w:sz w:val="14"/>
        <w:szCs w:val="14"/>
      </w:rPr>
      <w:t xml:space="preserve"> </w:t>
    </w:r>
    <w:r w:rsidRPr="00116345">
      <w:rPr>
        <w:b/>
        <w:bCs/>
        <w:color w:val="808080" w:themeColor="background1" w:themeShade="80"/>
        <w:sz w:val="14"/>
        <w:szCs w:val="14"/>
      </w:rPr>
      <w:t>ermsOfReferenceTemplate_Version</w:t>
    </w:r>
    <w:r>
      <w:rPr>
        <w:b/>
        <w:bCs/>
        <w:color w:val="808080" w:themeColor="background1" w:themeShade="80"/>
        <w:sz w:val="14"/>
        <w:szCs w:val="14"/>
      </w:rPr>
      <w:t>2</w:t>
    </w:r>
    <w:r w:rsidRPr="00116345">
      <w:rPr>
        <w:b/>
        <w:bCs/>
        <w:color w:val="808080" w:themeColor="background1" w:themeShade="80"/>
        <w:sz w:val="14"/>
        <w:szCs w:val="14"/>
      </w:rPr>
      <w:t>_201</w:t>
    </w:r>
    <w:r>
      <w:rPr>
        <w:b/>
        <w:bCs/>
        <w:color w:val="808080" w:themeColor="background1" w:themeShade="80"/>
        <w:sz w:val="14"/>
        <w:szCs w:val="14"/>
      </w:rPr>
      <w:t xml:space="preserve">60321  </w:t>
    </w:r>
  </w:p>
  <w:p w14:paraId="123F21B2" w14:textId="77777777" w:rsidR="007741FF" w:rsidRPr="00116345" w:rsidRDefault="007741FF" w:rsidP="00116345">
    <w:pPr>
      <w:pStyle w:val="Footer"/>
      <w:jc w:val="right"/>
      <w:rPr>
        <w:b/>
        <w:bCs/>
        <w:color w:val="808080" w:themeColor="background1" w:themeShade="80"/>
        <w:sz w:val="14"/>
        <w:szCs w:val="14"/>
      </w:rPr>
    </w:pPr>
    <w:r w:rsidRPr="00116345">
      <w:rPr>
        <w:b/>
        <w:bCs/>
        <w:color w:val="808080" w:themeColor="background1" w:themeShade="80"/>
        <w:spacing w:val="60"/>
        <w:sz w:val="14"/>
        <w:szCs w:val="14"/>
      </w:rPr>
      <w:t>Page</w:t>
    </w:r>
    <w:r w:rsidRPr="00116345">
      <w:rPr>
        <w:b/>
        <w:bCs/>
        <w:color w:val="808080" w:themeColor="background1" w:themeShade="80"/>
        <w:sz w:val="14"/>
        <w:szCs w:val="14"/>
      </w:rPr>
      <w:t xml:space="preserve"> | </w:t>
    </w:r>
    <w:r w:rsidRPr="00116345">
      <w:rPr>
        <w:b/>
        <w:bCs/>
        <w:color w:val="808080" w:themeColor="background1" w:themeShade="80"/>
        <w:sz w:val="14"/>
        <w:szCs w:val="14"/>
      </w:rPr>
      <w:fldChar w:fldCharType="begin"/>
    </w:r>
    <w:r w:rsidRPr="00116345">
      <w:rPr>
        <w:b/>
        <w:bCs/>
        <w:color w:val="808080" w:themeColor="background1" w:themeShade="80"/>
        <w:sz w:val="14"/>
        <w:szCs w:val="14"/>
      </w:rPr>
      <w:instrText xml:space="preserve"> PAGE   \* MERGEFORMAT </w:instrText>
    </w:r>
    <w:r w:rsidRPr="00116345">
      <w:rPr>
        <w:b/>
        <w:bCs/>
        <w:color w:val="808080" w:themeColor="background1" w:themeShade="80"/>
        <w:sz w:val="14"/>
        <w:szCs w:val="14"/>
      </w:rPr>
      <w:fldChar w:fldCharType="separate"/>
    </w:r>
    <w:r>
      <w:rPr>
        <w:b/>
        <w:bCs/>
        <w:noProof/>
        <w:color w:val="808080" w:themeColor="background1" w:themeShade="80"/>
        <w:sz w:val="14"/>
        <w:szCs w:val="14"/>
      </w:rPr>
      <w:t>2</w:t>
    </w:r>
    <w:r w:rsidRPr="00116345">
      <w:rPr>
        <w:b/>
        <w:bCs/>
        <w:noProof/>
        <w:color w:val="808080" w:themeColor="background1" w:themeShade="80"/>
        <w:sz w:val="14"/>
        <w:szCs w:val="14"/>
      </w:rPr>
      <w:fldChar w:fldCharType="end"/>
    </w:r>
  </w:p>
  <w:p w14:paraId="1AFC54DC" w14:textId="77777777" w:rsidR="007741FF" w:rsidRDefault="007741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BC2839" w14:textId="77777777" w:rsidR="006224BF" w:rsidRDefault="006224BF" w:rsidP="00116345">
      <w:pPr>
        <w:spacing w:after="0" w:line="240" w:lineRule="auto"/>
      </w:pPr>
      <w:r>
        <w:separator/>
      </w:r>
    </w:p>
  </w:footnote>
  <w:footnote w:type="continuationSeparator" w:id="0">
    <w:p w14:paraId="20DCA7AF" w14:textId="77777777" w:rsidR="006224BF" w:rsidRDefault="006224BF" w:rsidP="00116345">
      <w:pPr>
        <w:spacing w:after="0" w:line="240" w:lineRule="auto"/>
      </w:pPr>
      <w:r>
        <w:continuationSeparator/>
      </w:r>
    </w:p>
  </w:footnote>
  <w:footnote w:id="1">
    <w:p w14:paraId="770CA219" w14:textId="77777777" w:rsidR="001A3E9F" w:rsidRPr="00CC241B" w:rsidRDefault="001A3E9F" w:rsidP="001A3E9F">
      <w:pPr>
        <w:pStyle w:val="FootnoteText"/>
        <w:rPr>
          <w:rFonts w:asciiTheme="majorHAnsi" w:hAnsiTheme="majorHAnsi"/>
          <w:sz w:val="18"/>
          <w:szCs w:val="18"/>
        </w:rPr>
      </w:pPr>
      <w:r w:rsidRPr="00091AD4">
        <w:rPr>
          <w:rStyle w:val="FootnoteReference"/>
          <w:rFonts w:asciiTheme="majorHAnsi" w:hAnsiTheme="majorHAnsi"/>
          <w:sz w:val="18"/>
          <w:szCs w:val="18"/>
        </w:rPr>
        <w:footnoteRef/>
      </w:r>
      <w:r w:rsidRPr="00091AD4">
        <w:rPr>
          <w:rFonts w:asciiTheme="majorHAnsi" w:hAnsiTheme="majorHAnsi"/>
          <w:sz w:val="18"/>
          <w:szCs w:val="18"/>
        </w:rPr>
        <w:t xml:space="preserve"> Global Action Plan on Antimicrobial </w:t>
      </w:r>
      <w:r w:rsidRPr="00CC241B">
        <w:rPr>
          <w:rFonts w:asciiTheme="majorHAnsi" w:hAnsiTheme="majorHAnsi"/>
          <w:sz w:val="18"/>
          <w:szCs w:val="18"/>
        </w:rPr>
        <w:t xml:space="preserve">Resistance. </w:t>
      </w:r>
      <w:r w:rsidRPr="0030056C">
        <w:rPr>
          <w:rFonts w:asciiTheme="majorHAnsi" w:hAnsiTheme="majorHAnsi"/>
          <w:sz w:val="18"/>
          <w:szCs w:val="18"/>
        </w:rPr>
        <w:t>Geneva: World Health Organization; 2015</w:t>
      </w:r>
    </w:p>
  </w:footnote>
  <w:footnote w:id="2">
    <w:p w14:paraId="3AB3A366" w14:textId="77777777" w:rsidR="001A3E9F" w:rsidRPr="00091AD4" w:rsidRDefault="001A3E9F" w:rsidP="001A3E9F">
      <w:pPr>
        <w:pStyle w:val="FootnoteText"/>
        <w:rPr>
          <w:rFonts w:asciiTheme="majorHAnsi" w:hAnsiTheme="majorHAnsi"/>
          <w:sz w:val="18"/>
          <w:szCs w:val="18"/>
        </w:rPr>
      </w:pPr>
      <w:r w:rsidRPr="0030056C">
        <w:rPr>
          <w:rStyle w:val="FootnoteReference"/>
          <w:rFonts w:asciiTheme="majorHAnsi" w:hAnsiTheme="majorHAnsi"/>
          <w:sz w:val="18"/>
          <w:szCs w:val="18"/>
        </w:rPr>
        <w:footnoteRef/>
      </w:r>
      <w:r w:rsidRPr="0030056C">
        <w:rPr>
          <w:rStyle w:val="FootnoteReference"/>
        </w:rPr>
        <w:t xml:space="preserve"> </w:t>
      </w:r>
      <w:r w:rsidRPr="0030056C">
        <w:rPr>
          <w:rFonts w:asciiTheme="majorHAnsi" w:hAnsiTheme="majorHAnsi"/>
          <w:sz w:val="18"/>
          <w:szCs w:val="18"/>
        </w:rPr>
        <w:t>Political Declaration of the High-Level Meeting of the General Assembly on Antimicrobial Resistance. New York: United Nations; 2016</w:t>
      </w:r>
    </w:p>
  </w:footnote>
  <w:footnote w:id="3">
    <w:p w14:paraId="189065E3" w14:textId="77777777" w:rsidR="001A3E9F" w:rsidRPr="0063783D" w:rsidRDefault="001A3E9F" w:rsidP="001A3E9F">
      <w:pPr>
        <w:pStyle w:val="FootnoteText"/>
      </w:pPr>
      <w:r>
        <w:rPr>
          <w:rStyle w:val="FootnoteReference"/>
        </w:rPr>
        <w:footnoteRef/>
      </w:r>
      <w:r w:rsidRPr="0063783D">
        <w:t xml:space="preserve"> https://www.who.int/antimicrobial-resistance/interagency-coordination-group/en/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419C0"/>
    <w:multiLevelType w:val="hybridMultilevel"/>
    <w:tmpl w:val="1FA420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B8170F"/>
    <w:multiLevelType w:val="hybridMultilevel"/>
    <w:tmpl w:val="8F88F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8F2371"/>
    <w:multiLevelType w:val="hybridMultilevel"/>
    <w:tmpl w:val="A5005A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60856BC"/>
    <w:multiLevelType w:val="hybridMultilevel"/>
    <w:tmpl w:val="79ECE2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BF73003"/>
    <w:multiLevelType w:val="hybridMultilevel"/>
    <w:tmpl w:val="62F81EF8"/>
    <w:lvl w:ilvl="0" w:tplc="68A0306A">
      <w:start w:val="1"/>
      <w:numFmt w:val="decimal"/>
      <w:lvlText w:val="%1."/>
      <w:lvlJc w:val="left"/>
      <w:pPr>
        <w:ind w:left="720" w:hanging="360"/>
      </w:pPr>
      <w:rPr>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E6143F3"/>
    <w:multiLevelType w:val="hybridMultilevel"/>
    <w:tmpl w:val="FF3419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2F97B9C"/>
    <w:multiLevelType w:val="hybridMultilevel"/>
    <w:tmpl w:val="FA9AA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36C3FBD"/>
    <w:multiLevelType w:val="hybridMultilevel"/>
    <w:tmpl w:val="CC764486"/>
    <w:lvl w:ilvl="0" w:tplc="68A0306A">
      <w:start w:val="1"/>
      <w:numFmt w:val="decimal"/>
      <w:lvlText w:val="%1."/>
      <w:lvlJc w:val="left"/>
      <w:pPr>
        <w:ind w:left="360" w:hanging="360"/>
      </w:pPr>
      <w:rPr>
        <w:b/>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78BF0F02"/>
    <w:multiLevelType w:val="hybridMultilevel"/>
    <w:tmpl w:val="035649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8D42E50"/>
    <w:multiLevelType w:val="hybridMultilevel"/>
    <w:tmpl w:val="5232A1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9"/>
  </w:num>
  <w:num w:numId="3">
    <w:abstractNumId w:val="3"/>
  </w:num>
  <w:num w:numId="4">
    <w:abstractNumId w:val="0"/>
  </w:num>
  <w:num w:numId="5">
    <w:abstractNumId w:val="8"/>
  </w:num>
  <w:num w:numId="6">
    <w:abstractNumId w:val="2"/>
  </w:num>
  <w:num w:numId="7">
    <w:abstractNumId w:val="4"/>
  </w:num>
  <w:num w:numId="8">
    <w:abstractNumId w:val="6"/>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K1sLAwNTezNLe0tLBU0lEKTi0uzszPAykwqwUAyyg5SSwAAAA="/>
  </w:docVars>
  <w:rsids>
    <w:rsidRoot w:val="000004D1"/>
    <w:rsid w:val="000004D1"/>
    <w:rsid w:val="000401E8"/>
    <w:rsid w:val="00042A4C"/>
    <w:rsid w:val="000A6248"/>
    <w:rsid w:val="000C3A64"/>
    <w:rsid w:val="000D57BF"/>
    <w:rsid w:val="00105889"/>
    <w:rsid w:val="00116345"/>
    <w:rsid w:val="00116A84"/>
    <w:rsid w:val="001336B1"/>
    <w:rsid w:val="001A3E9F"/>
    <w:rsid w:val="001D16D8"/>
    <w:rsid w:val="00210B32"/>
    <w:rsid w:val="00273096"/>
    <w:rsid w:val="00274603"/>
    <w:rsid w:val="00283D31"/>
    <w:rsid w:val="002907F1"/>
    <w:rsid w:val="002D62D1"/>
    <w:rsid w:val="002E0527"/>
    <w:rsid w:val="00343986"/>
    <w:rsid w:val="00350162"/>
    <w:rsid w:val="00357209"/>
    <w:rsid w:val="00385920"/>
    <w:rsid w:val="003A7796"/>
    <w:rsid w:val="003B408C"/>
    <w:rsid w:val="003F1959"/>
    <w:rsid w:val="00454697"/>
    <w:rsid w:val="00463018"/>
    <w:rsid w:val="00486CE6"/>
    <w:rsid w:val="0049578E"/>
    <w:rsid w:val="004A7733"/>
    <w:rsid w:val="004B7773"/>
    <w:rsid w:val="004C6A8A"/>
    <w:rsid w:val="00530F95"/>
    <w:rsid w:val="00544172"/>
    <w:rsid w:val="005C29AA"/>
    <w:rsid w:val="005D56C8"/>
    <w:rsid w:val="005F5AF8"/>
    <w:rsid w:val="006224BF"/>
    <w:rsid w:val="00641035"/>
    <w:rsid w:val="0067420D"/>
    <w:rsid w:val="0069765C"/>
    <w:rsid w:val="006A56B6"/>
    <w:rsid w:val="006B4620"/>
    <w:rsid w:val="006D5995"/>
    <w:rsid w:val="006E1C5C"/>
    <w:rsid w:val="006F7FD9"/>
    <w:rsid w:val="00706EEB"/>
    <w:rsid w:val="00737A0A"/>
    <w:rsid w:val="007726A9"/>
    <w:rsid w:val="007741FF"/>
    <w:rsid w:val="007C4E3D"/>
    <w:rsid w:val="008238CC"/>
    <w:rsid w:val="00895A36"/>
    <w:rsid w:val="008C1550"/>
    <w:rsid w:val="00926D15"/>
    <w:rsid w:val="00931596"/>
    <w:rsid w:val="009439E6"/>
    <w:rsid w:val="00944A54"/>
    <w:rsid w:val="00973290"/>
    <w:rsid w:val="009C10FF"/>
    <w:rsid w:val="009E5FD1"/>
    <w:rsid w:val="009E77A2"/>
    <w:rsid w:val="00A15557"/>
    <w:rsid w:val="00A40F35"/>
    <w:rsid w:val="00A46C57"/>
    <w:rsid w:val="00A60759"/>
    <w:rsid w:val="00AF20FC"/>
    <w:rsid w:val="00B1693F"/>
    <w:rsid w:val="00B42607"/>
    <w:rsid w:val="00B65D79"/>
    <w:rsid w:val="00B67CA0"/>
    <w:rsid w:val="00C15E54"/>
    <w:rsid w:val="00C25E7D"/>
    <w:rsid w:val="00C61288"/>
    <w:rsid w:val="00C87DF9"/>
    <w:rsid w:val="00CC1FFC"/>
    <w:rsid w:val="00CE00E0"/>
    <w:rsid w:val="00D14B2D"/>
    <w:rsid w:val="00D66205"/>
    <w:rsid w:val="00DA0265"/>
    <w:rsid w:val="00DA032E"/>
    <w:rsid w:val="00DC7311"/>
    <w:rsid w:val="00DD12DB"/>
    <w:rsid w:val="00E166CA"/>
    <w:rsid w:val="00E35671"/>
    <w:rsid w:val="00E81621"/>
    <w:rsid w:val="00ED5F55"/>
    <w:rsid w:val="00F03CB8"/>
    <w:rsid w:val="00F35861"/>
    <w:rsid w:val="00F7267A"/>
    <w:rsid w:val="00FB1EF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4B844C"/>
  <w15:docId w15:val="{51F9CDD5-146E-47E7-97A2-F635D5EEE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04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4D1"/>
    <w:rPr>
      <w:rFonts w:ascii="Tahoma" w:hAnsi="Tahoma" w:cs="Tahoma"/>
      <w:sz w:val="16"/>
      <w:szCs w:val="16"/>
    </w:rPr>
  </w:style>
  <w:style w:type="table" w:styleId="TableGrid">
    <w:name w:val="Table Grid"/>
    <w:basedOn w:val="TableNormal"/>
    <w:uiPriority w:val="59"/>
    <w:rsid w:val="000004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004D1"/>
    <w:pPr>
      <w:ind w:left="720"/>
      <w:contextualSpacing/>
    </w:pPr>
  </w:style>
  <w:style w:type="paragraph" w:styleId="Header">
    <w:name w:val="header"/>
    <w:basedOn w:val="Normal"/>
    <w:link w:val="HeaderChar"/>
    <w:uiPriority w:val="99"/>
    <w:unhideWhenUsed/>
    <w:rsid w:val="001163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6345"/>
  </w:style>
  <w:style w:type="paragraph" w:styleId="Footer">
    <w:name w:val="footer"/>
    <w:basedOn w:val="Normal"/>
    <w:link w:val="FooterChar"/>
    <w:uiPriority w:val="99"/>
    <w:unhideWhenUsed/>
    <w:rsid w:val="001163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6345"/>
  </w:style>
  <w:style w:type="paragraph" w:customStyle="1" w:styleId="Default">
    <w:name w:val="Default"/>
    <w:rsid w:val="00343986"/>
    <w:pPr>
      <w:autoSpaceDE w:val="0"/>
      <w:autoSpaceDN w:val="0"/>
      <w:adjustRightInd w:val="0"/>
      <w:spacing w:after="0" w:line="240" w:lineRule="auto"/>
    </w:pPr>
    <w:rPr>
      <w:rFonts w:ascii="Calibri" w:eastAsia="MS Mincho" w:hAnsi="Calibri" w:cs="Calibri"/>
      <w:color w:val="000000"/>
      <w:sz w:val="24"/>
      <w:szCs w:val="24"/>
      <w:lang w:val="en-US"/>
    </w:rPr>
  </w:style>
  <w:style w:type="paragraph" w:styleId="FootnoteText">
    <w:name w:val="footnote text"/>
    <w:basedOn w:val="Normal"/>
    <w:link w:val="FootnoteTextChar"/>
    <w:uiPriority w:val="99"/>
    <w:unhideWhenUsed/>
    <w:rsid w:val="00B65D79"/>
    <w:pPr>
      <w:spacing w:after="0" w:line="240" w:lineRule="auto"/>
    </w:pPr>
    <w:rPr>
      <w:sz w:val="20"/>
      <w:szCs w:val="20"/>
    </w:rPr>
  </w:style>
  <w:style w:type="character" w:customStyle="1" w:styleId="FootnoteTextChar">
    <w:name w:val="Footnote Text Char"/>
    <w:basedOn w:val="DefaultParagraphFont"/>
    <w:link w:val="FootnoteText"/>
    <w:uiPriority w:val="99"/>
    <w:rsid w:val="00B65D79"/>
    <w:rPr>
      <w:sz w:val="20"/>
      <w:szCs w:val="20"/>
    </w:rPr>
  </w:style>
  <w:style w:type="character" w:styleId="FootnoteReference">
    <w:name w:val="footnote reference"/>
    <w:basedOn w:val="DefaultParagraphFont"/>
    <w:uiPriority w:val="99"/>
    <w:semiHidden/>
    <w:unhideWhenUsed/>
    <w:rsid w:val="00B65D79"/>
    <w:rPr>
      <w:vertAlign w:val="superscript"/>
    </w:rPr>
  </w:style>
  <w:style w:type="character" w:styleId="CommentReference">
    <w:name w:val="annotation reference"/>
    <w:basedOn w:val="DefaultParagraphFont"/>
    <w:uiPriority w:val="99"/>
    <w:semiHidden/>
    <w:unhideWhenUsed/>
    <w:rsid w:val="007741FF"/>
    <w:rPr>
      <w:sz w:val="16"/>
      <w:szCs w:val="16"/>
    </w:rPr>
  </w:style>
  <w:style w:type="paragraph" w:styleId="CommentText">
    <w:name w:val="annotation text"/>
    <w:basedOn w:val="Normal"/>
    <w:link w:val="CommentTextChar"/>
    <w:uiPriority w:val="99"/>
    <w:semiHidden/>
    <w:unhideWhenUsed/>
    <w:rsid w:val="007741FF"/>
    <w:pPr>
      <w:spacing w:line="240" w:lineRule="auto"/>
    </w:pPr>
    <w:rPr>
      <w:sz w:val="20"/>
      <w:szCs w:val="20"/>
    </w:rPr>
  </w:style>
  <w:style w:type="character" w:customStyle="1" w:styleId="CommentTextChar">
    <w:name w:val="Comment Text Char"/>
    <w:basedOn w:val="DefaultParagraphFont"/>
    <w:link w:val="CommentText"/>
    <w:uiPriority w:val="99"/>
    <w:semiHidden/>
    <w:rsid w:val="007741FF"/>
    <w:rPr>
      <w:sz w:val="20"/>
      <w:szCs w:val="20"/>
    </w:rPr>
  </w:style>
  <w:style w:type="paragraph" w:styleId="CommentSubject">
    <w:name w:val="annotation subject"/>
    <w:basedOn w:val="CommentText"/>
    <w:next w:val="CommentText"/>
    <w:link w:val="CommentSubjectChar"/>
    <w:uiPriority w:val="99"/>
    <w:semiHidden/>
    <w:unhideWhenUsed/>
    <w:rsid w:val="007741FF"/>
    <w:rPr>
      <w:b/>
      <w:bCs/>
    </w:rPr>
  </w:style>
  <w:style w:type="character" w:customStyle="1" w:styleId="CommentSubjectChar">
    <w:name w:val="Comment Subject Char"/>
    <w:basedOn w:val="CommentTextChar"/>
    <w:link w:val="CommentSubject"/>
    <w:uiPriority w:val="99"/>
    <w:semiHidden/>
    <w:rsid w:val="007741FF"/>
    <w:rPr>
      <w:b/>
      <w:bCs/>
      <w:sz w:val="20"/>
      <w:szCs w:val="20"/>
    </w:rPr>
  </w:style>
  <w:style w:type="character" w:styleId="Hyperlink">
    <w:name w:val="Hyperlink"/>
    <w:basedOn w:val="DefaultParagraphFont"/>
    <w:uiPriority w:val="99"/>
    <w:unhideWhenUsed/>
    <w:rsid w:val="00350162"/>
    <w:rPr>
      <w:color w:val="0000FF" w:themeColor="hyperlink"/>
      <w:u w:val="single"/>
    </w:rPr>
  </w:style>
  <w:style w:type="character" w:styleId="UnresolvedMention">
    <w:name w:val="Unresolved Mention"/>
    <w:basedOn w:val="DefaultParagraphFont"/>
    <w:uiPriority w:val="99"/>
    <w:semiHidden/>
    <w:unhideWhenUsed/>
    <w:rsid w:val="0035016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who.int/research%20observatory/monitoring/processes/antibacterial_products/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who.int/medicines/areas/rational_use/antibacterial_agents_clinical_development/e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100E7239F2EE4F86C1B1151B812FDB" ma:contentTypeVersion="8" ma:contentTypeDescription="Create a new document." ma:contentTypeScope="" ma:versionID="b51c0cb4ca626a6530d05d36e7e97dcf">
  <xsd:schema xmlns:xsd="http://www.w3.org/2001/XMLSchema" xmlns:xs="http://www.w3.org/2001/XMLSchema" xmlns:p="http://schemas.microsoft.com/office/2006/metadata/properties" xmlns:ns3="c0cd8371-df98-4107-898c-cee4ce0023ce" targetNamespace="http://schemas.microsoft.com/office/2006/metadata/properties" ma:root="true" ma:fieldsID="49f5c6598cedd2cb9e5dd4b4357b3da1" ns3:_="">
    <xsd:import namespace="c0cd8371-df98-4107-898c-cee4ce0023c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d8371-df98-4107-898c-cee4ce0023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3B398-705A-4455-AF31-905856D763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d8371-df98-4107-898c-cee4ce002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C15CBE-0202-47FF-A95C-4E017EBB1D22}">
  <ds:schemaRefs>
    <ds:schemaRef ds:uri="http://schemas.microsoft.com/sharepoint/v3/contenttype/forms"/>
  </ds:schemaRefs>
</ds:datastoreItem>
</file>

<file path=customXml/itemProps3.xml><?xml version="1.0" encoding="utf-8"?>
<ds:datastoreItem xmlns:ds="http://schemas.openxmlformats.org/officeDocument/2006/customXml" ds:itemID="{2578D2C3-BC87-433F-A243-9FF382CDC4F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05A7722-6A9B-41E6-A1A8-1E1D93CB2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1204</Words>
  <Characters>6866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World Health Organization</Company>
  <LinksUpToDate>false</LinksUpToDate>
  <CharactersWithSpaces>8054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PACQUETET, Elise</dc:creator>
  <cp:lastModifiedBy>KOTUR CORLISS, Sandra</cp:lastModifiedBy>
  <cp:revision>5</cp:revision>
  <cp:lastPrinted>2019-09-13T09:40:00Z</cp:lastPrinted>
  <dcterms:created xsi:type="dcterms:W3CDTF">2020-01-24T15:02:00Z</dcterms:created>
  <dcterms:modified xsi:type="dcterms:W3CDTF">2020-01-24T15:07:00Z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0x010100AB100E7239F2EE4F86C1B1151B812FDB</vt:lpwstr>
  </property>
</Properties>
</file>