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pageBreakBefore w:val="0"/>
        <w:rPr>
          <w:color w:val="0092d1"/>
        </w:rPr>
      </w:pPr>
      <w:r w:rsidDel="00000000" w:rsidR="00000000" w:rsidRPr="00000000">
        <w:rPr>
          <w:color w:val="0092d1"/>
          <w:rtl w:val="0"/>
        </w:rPr>
        <w:t xml:space="preserve">Blanket Purchase Agreement </w:t>
      </w:r>
      <w:r w:rsidDel="00000000" w:rsidR="00000000" w:rsidRPr="00000000">
        <w:rPr>
          <w:color w:val="0092d1"/>
          <w:highlight w:val="lightGray"/>
          <w:rtl w:val="0"/>
        </w:rPr>
        <w:t xml:space="preserve">[BPA reference and number]</w:t>
      </w:r>
      <w:r w:rsidDel="00000000" w:rsidR="00000000" w:rsidRPr="00000000">
        <w:rPr>
          <w:rtl w:val="0"/>
        </w:rPr>
      </w:r>
    </w:p>
    <w:p w:rsidR="00000000" w:rsidDel="00000000" w:rsidP="00000000" w:rsidRDefault="00000000" w:rsidRPr="00000000" w14:paraId="00000003">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latter to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[insert summary description of the services].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the goods and/or perform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accordance with the Agreement.</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Contractor with respect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same kind, quality and quantity from any other source at any time.</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have no obligation to purchase any minimum quantities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and when requested by UNOPS through a formal Purchase Order issued to the Contractor. Such a Purchase Order shall:</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of goods and/or performance of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defined in Annex 3,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 out the actual quantities required and other terms and conditions for the delivery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BPA/XX/20XX)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 maximum 12 months after the effective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12 months.</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quotation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when and if requested by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[delivery of the goods and/or performance of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r w:rsidDel="00000000" w:rsidR="00000000" w:rsidRPr="00000000">
        <w:rPr>
          <w:rtl w:val="0"/>
        </w:rPr>
      </w:r>
    </w:p>
    <w:tbl>
      <w:tblPr>
        <w:tblStyle w:val="Table1"/>
        <w:tblW w:w="8396.0" w:type="dxa"/>
        <w:jc w:val="left"/>
        <w:tblInd w:w="73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cantSplit w:val="0"/>
          <w:trHeight w:val="360" w:hRule="atLeast"/>
          <w:tblHeader w:val="0"/>
        </w:trPr>
        <w:tc>
          <w:tcPr>
            <w:gridSpan w:val="7"/>
            <w:vAlign w:val="center"/>
          </w:tcPr>
          <w:p w:rsidR="00000000" w:rsidDel="00000000" w:rsidP="00000000" w:rsidRDefault="00000000" w:rsidRPr="00000000" w14:paraId="000000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BPA # xxxx – Period: dd/mm/yyyy to dd/mm/yyyy</w:t>
            </w:r>
          </w:p>
        </w:tc>
      </w:tr>
      <w:tr>
        <w:trPr>
          <w:cantSplit w:val="0"/>
          <w:trHeight w:val="360" w:hRule="atLeast"/>
          <w:tblHeader w:val="0"/>
        </w:trPr>
        <w:tc>
          <w:tcPr>
            <w:vAlign w:val="center"/>
          </w:tcPr>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date</w:t>
            </w:r>
          </w:p>
        </w:tc>
        <w:tc>
          <w:tcPr>
            <w:vAlign w:val="center"/>
          </w:tcPr>
          <w:p w:rsidR="00000000" w:rsidDel="00000000" w:rsidP="00000000" w:rsidRDefault="00000000" w:rsidRPr="00000000" w14:paraId="000000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cantSplit w:val="0"/>
          <w:trHeight w:val="360" w:hRule="atLeast"/>
          <w:tblHeader w:val="0"/>
        </w:trPr>
        <w:tc>
          <w:tcPr/>
          <w:p w:rsidR="00000000" w:rsidDel="00000000" w:rsidP="00000000" w:rsidRDefault="00000000" w:rsidRPr="00000000" w14:paraId="000000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gridSpan w:val="6"/>
            <w:vAlign w:val="center"/>
          </w:tcPr>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60">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w:t>
      </w:r>
      <w:r w:rsidDel="00000000" w:rsidR="00000000" w:rsidRPr="00000000">
        <w:rPr>
          <w:rFonts w:ascii="Arial" w:cs="Arial" w:eastAsia="Arial" w:hAnsi="Arial"/>
          <w:sz w:val="20"/>
          <w:szCs w:val="20"/>
          <w:rtl w:val="0"/>
        </w:rPr>
        <w:t xml:space="preserve">included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any, will be passed on in full to UNOPS.</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supplied and/or services performed]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r w:rsidDel="00000000" w:rsidR="00000000" w:rsidRPr="00000000">
        <w:rPr>
          <w:rtl w:val="0"/>
        </w:rPr>
      </w:r>
    </w:p>
    <w:p w:rsidR="00000000" w:rsidDel="00000000" w:rsidP="00000000" w:rsidRDefault="00000000" w:rsidRPr="00000000" w14:paraId="0000006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C">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D">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6E">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F">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0">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71">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2">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73">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tl w:val="0"/>
        </w:rPr>
      </w:r>
    </w:p>
    <w:p w:rsidR="00000000" w:rsidDel="00000000" w:rsidP="00000000" w:rsidRDefault="00000000" w:rsidRPr="00000000" w14:paraId="00000074">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75">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76">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77">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7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79">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A">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7B">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C">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7D">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r w:rsidDel="00000000" w:rsidR="00000000" w:rsidRPr="00000000">
        <w:rPr>
          <w:rtl w:val="0"/>
        </w:rPr>
      </w:r>
    </w:p>
    <w:p w:rsidR="00000000" w:rsidDel="00000000" w:rsidP="00000000" w:rsidRDefault="00000000" w:rsidRPr="00000000" w14:paraId="0000007F">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r w:rsidDel="00000000" w:rsidR="00000000" w:rsidRPr="00000000">
        <w:rPr>
          <w:rtl w:val="0"/>
        </w:rPr>
      </w:r>
    </w:p>
    <w:p w:rsidR="00000000" w:rsidDel="00000000" w:rsidP="00000000" w:rsidRDefault="00000000" w:rsidRPr="00000000" w14:paraId="00000082">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8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pStyle w:val="Heading1"/>
        <w:pageBreakBefore w:val="0"/>
        <w:rPr>
          <w:color w:val="0092d1"/>
        </w:rPr>
      </w:pPr>
      <w:r w:rsidDel="00000000" w:rsidR="00000000" w:rsidRPr="00000000">
        <w:rPr>
          <w:rtl w:val="0"/>
        </w:rPr>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ageBreakBefore w:val="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A1">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Services or Goods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Services or the Instrument of Agreement are amended in the following manner. If nothing is stated, then no amended conditions apply. </w:t>
      </w:r>
    </w:p>
    <w:tbl>
      <w:tblPr>
        <w:tblStyle w:val="Table3"/>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blHeader w:val="0"/>
        </w:trPr>
        <w:tc>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Services or the Instrument of Agreement as specified below. If nothing is stated, then no additional conditions apply. </w:t>
      </w:r>
    </w:p>
    <w:tbl>
      <w:tblPr>
        <w:tblStyle w:val="Table4"/>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blHeader w:val="0"/>
        </w:trPr>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w:t>
      </w:r>
    </w:p>
    <w:p w:rsidR="00000000" w:rsidDel="00000000" w:rsidP="00000000" w:rsidRDefault="00000000" w:rsidRPr="00000000" w14:paraId="000000D3">
      <w:pPr>
        <w:pStyle w:val="Heading1"/>
        <w:pageBreakBefore w:val="0"/>
        <w:rPr>
          <w:color w:val="0092d1"/>
        </w:rPr>
      </w:pPr>
      <w:r w:rsidDel="00000000" w:rsidR="00000000" w:rsidRPr="00000000">
        <w:rPr>
          <w:rtl w:val="0"/>
        </w:rPr>
      </w:r>
    </w:p>
    <w:p w:rsidR="00000000" w:rsidDel="00000000" w:rsidP="00000000" w:rsidRDefault="00000000" w:rsidRPr="00000000" w14:paraId="000000D4">
      <w:pPr>
        <w:pStyle w:val="Heading1"/>
        <w:pageBreakBefore w:val="0"/>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45"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Refer to the relevant document (goods, services or goods and services) and amend the heading accordingly</w:t>
      </w:r>
      <w:r w:rsidDel="00000000" w:rsidR="00000000" w:rsidRPr="00000000">
        <w:rPr>
          <w:rtl w:val="0"/>
        </w:rPr>
      </w:r>
    </w:p>
    <w:p w:rsidR="00000000" w:rsidDel="00000000" w:rsidP="00000000" w:rsidRDefault="00000000" w:rsidRPr="00000000" w14:paraId="000000D6">
      <w:pPr>
        <w:pageBreakBefore w:val="0"/>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D7">
      <w:pPr>
        <w:pStyle w:val="Heading1"/>
        <w:pageBreakBefore w:val="0"/>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D9">
      <w:pPr>
        <w:pStyle w:val="Heading1"/>
        <w:pageBreakBefore w:val="0"/>
        <w:rPr>
          <w:color w:val="0092d1"/>
        </w:rPr>
      </w:pPr>
      <w:r w:rsidDel="00000000" w:rsidR="00000000" w:rsidRPr="00000000">
        <w:rPr>
          <w:color w:val="0092d1"/>
          <w:rtl w:val="0"/>
        </w:rPr>
        <w:t xml:space="preserve">ANNEX 4: Price List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Price List]</w:t>
      </w:r>
      <w:r w:rsidDel="00000000" w:rsidR="00000000" w:rsidRPr="00000000">
        <w:rPr>
          <w:rtl w:val="0"/>
        </w:rPr>
      </w:r>
    </w:p>
    <w:p w:rsidR="00000000" w:rsidDel="00000000" w:rsidP="00000000" w:rsidRDefault="00000000" w:rsidRPr="00000000" w14:paraId="000000DB">
      <w:pPr>
        <w:pageBreakBefore w:val="0"/>
        <w:rPr>
          <w:rFonts w:ascii="Arial" w:cs="Arial" w:eastAsia="Arial" w:hAnsi="Arial"/>
          <w:sz w:val="20"/>
          <w:szCs w:val="20"/>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363"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2B+LMgkI5uooJT3t2MlFzV1rRw==">CgMxLjAyCGguZ2pkZ3hzOAByITE2MmJ3WXM4b0FFalRoNC1ZeG94S1NQQ2hWVndpMDJoYg==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