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13D4A6AF" w14:textId="77777777" w:rsidR="00B25839" w:rsidRPr="00B25839" w:rsidRDefault="00B25839" w:rsidP="001C3427">
      <w:pPr>
        <w:pStyle w:val="BodyTextMultiline"/>
        <w:numPr>
          <w:ilvl w:val="0"/>
          <w:numId w:val="0"/>
        </w:numPr>
        <w:rPr>
          <w:lang w:val="en-US"/>
        </w:rPr>
      </w:pPr>
    </w:p>
    <w:p w14:paraId="51D02DFF" w14:textId="4AA53B06" w:rsidR="00B25839" w:rsidRPr="000D0442" w:rsidRDefault="00AF40DB" w:rsidP="00B25839">
      <w:pPr>
        <w:pStyle w:val="BodyTextMultiline"/>
        <w:numPr>
          <w:ilvl w:val="0"/>
          <w:numId w:val="0"/>
        </w:numPr>
        <w:jc w:val="center"/>
        <w:rPr>
          <w:b/>
          <w:color w:val="000000" w:themeColor="text1"/>
          <w:szCs w:val="22"/>
        </w:rPr>
      </w:pPr>
      <w:r>
        <w:rPr>
          <w:b/>
          <w:color w:val="000000" w:themeColor="text1"/>
          <w:szCs w:val="22"/>
        </w:rPr>
        <w:t xml:space="preserve">IAEA RFQ </w:t>
      </w:r>
      <w:r w:rsidR="00751C0D" w:rsidRPr="00751C0D">
        <w:rPr>
          <w:b/>
          <w:color w:val="000000" w:themeColor="text1"/>
          <w:szCs w:val="22"/>
        </w:rPr>
        <w:t>649604-AK – Lu-177 PSMA Doses for Brazil (BRA6032)</w:t>
      </w:r>
    </w:p>
    <w:p w14:paraId="348DBD71" w14:textId="77777777" w:rsidR="0094366B" w:rsidRPr="009E7884" w:rsidRDefault="0094366B" w:rsidP="0094366B">
      <w:pPr>
        <w:overflowPunct/>
        <w:autoSpaceDE/>
        <w:autoSpaceDN/>
        <w:adjustRightInd/>
        <w:ind w:firstLine="0"/>
        <w:textAlignment w:val="auto"/>
        <w:rPr>
          <w:b/>
          <w:color w:val="FF0000"/>
          <w:sz w:val="20"/>
          <w:u w:val="single"/>
          <w:lang w:val="en-US"/>
        </w:rPr>
      </w:pPr>
      <w:r w:rsidRPr="009E7884">
        <w:rPr>
          <w:b/>
          <w:color w:val="FF0000"/>
          <w:sz w:val="20"/>
          <w:u w:val="single"/>
          <w:lang w:val="en-US"/>
        </w:rPr>
        <w:t>IMPORTANT</w:t>
      </w:r>
      <w:r>
        <w:rPr>
          <w:b/>
          <w:color w:val="FF0000"/>
          <w:sz w:val="20"/>
          <w:u w:val="single"/>
          <w:lang w:val="en-US"/>
        </w:rPr>
        <w:t xml:space="preserve"> INSTRUCTIONS</w:t>
      </w:r>
    </w:p>
    <w:p w14:paraId="3CA9721D" w14:textId="57A4445B" w:rsidR="0094366B" w:rsidRDefault="00686C4E"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sidRPr="00686C4E">
        <w:rPr>
          <w:bCs/>
          <w:color w:val="000000" w:themeColor="text1"/>
          <w:sz w:val="22"/>
          <w:szCs w:val="22"/>
          <w:lang w:val="en-US"/>
        </w:rPr>
        <w:t xml:space="preserve">Responses </w:t>
      </w:r>
      <w:r w:rsidRPr="0061641B">
        <w:rPr>
          <w:bCs/>
          <w:color w:val="000000" w:themeColor="text1"/>
          <w:sz w:val="22"/>
          <w:szCs w:val="22"/>
          <w:u w:val="single"/>
          <w:lang w:val="en-US"/>
        </w:rPr>
        <w:t>should not</w:t>
      </w:r>
      <w:r w:rsidRPr="00686C4E">
        <w:rPr>
          <w:bCs/>
          <w:color w:val="000000" w:themeColor="text1"/>
          <w:sz w:val="22"/>
          <w:szCs w:val="22"/>
          <w:lang w:val="en-US"/>
        </w:rPr>
        <w:t xml:space="preserve"> be direct </w:t>
      </w:r>
      <w:r w:rsidR="007B776E" w:rsidRPr="00686C4E">
        <w:rPr>
          <w:bCs/>
          <w:color w:val="000000" w:themeColor="text1"/>
          <w:sz w:val="22"/>
          <w:szCs w:val="22"/>
          <w:lang w:val="en-US"/>
        </w:rPr>
        <w:t>copies</w:t>
      </w:r>
      <w:r w:rsidR="007B776E">
        <w:rPr>
          <w:bCs/>
          <w:color w:val="000000" w:themeColor="text1"/>
          <w:sz w:val="22"/>
          <w:szCs w:val="22"/>
          <w:lang w:val="en-US"/>
        </w:rPr>
        <w:t xml:space="preserve"> (</w:t>
      </w:r>
      <w:r w:rsidR="00972B20">
        <w:rPr>
          <w:bCs/>
          <w:color w:val="000000" w:themeColor="text1"/>
          <w:sz w:val="22"/>
          <w:szCs w:val="22"/>
          <w:lang w:val="en-US"/>
        </w:rPr>
        <w:t>copy and paste)</w:t>
      </w:r>
      <w:r w:rsidRPr="00686C4E">
        <w:rPr>
          <w:bCs/>
          <w:color w:val="000000" w:themeColor="text1"/>
          <w:sz w:val="22"/>
          <w:szCs w:val="22"/>
          <w:lang w:val="en-US"/>
        </w:rPr>
        <w:t xml:space="preserve"> of the provided IAEA specifications. </w:t>
      </w:r>
      <w:r w:rsidR="0094366B" w:rsidRPr="00512946">
        <w:rPr>
          <w:bCs/>
          <w:color w:val="000000" w:themeColor="text1"/>
          <w:sz w:val="22"/>
          <w:szCs w:val="22"/>
          <w:lang w:val="en-US"/>
        </w:rPr>
        <w:t>Bidders are required to provide a detailed response</w:t>
      </w:r>
      <w:r w:rsidR="0061641B">
        <w:rPr>
          <w:bCs/>
          <w:color w:val="000000" w:themeColor="text1"/>
          <w:sz w:val="22"/>
          <w:szCs w:val="22"/>
          <w:lang w:val="en-US"/>
        </w:rPr>
        <w:t>/explanation</w:t>
      </w:r>
      <w:r w:rsidR="0094366B" w:rsidRPr="00512946">
        <w:rPr>
          <w:bCs/>
          <w:color w:val="000000" w:themeColor="text1"/>
          <w:sz w:val="22"/>
          <w:szCs w:val="22"/>
          <w:lang w:val="en-US"/>
        </w:rPr>
        <w:t xml:space="preserve"> for each specification line item. This response must include specific technical details of the offered solution</w:t>
      </w:r>
      <w:r w:rsidR="0094366B">
        <w:rPr>
          <w:bCs/>
          <w:color w:val="000000" w:themeColor="text1"/>
          <w:sz w:val="22"/>
          <w:szCs w:val="22"/>
          <w:lang w:val="en-US"/>
        </w:rPr>
        <w:t>.</w:t>
      </w:r>
      <w:r w:rsidR="0094366B" w:rsidRPr="00AB41BD">
        <w:t xml:space="preserve"> </w:t>
      </w:r>
      <w:r w:rsidR="0094366B" w:rsidRPr="00922A9B">
        <w:rPr>
          <w:bCs/>
          <w:color w:val="000000" w:themeColor="text1"/>
          <w:sz w:val="22"/>
          <w:szCs w:val="22"/>
          <w:lang w:val="en-US"/>
        </w:rPr>
        <w:t>Any proposed deviations shall be clearly defined and justified.</w:t>
      </w:r>
    </w:p>
    <w:p w14:paraId="4B8BA91D" w14:textId="77777777" w:rsidR="0094366B" w:rsidRDefault="0094366B"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Pr>
          <w:bCs/>
          <w:color w:val="000000" w:themeColor="text1"/>
          <w:sz w:val="22"/>
          <w:szCs w:val="22"/>
          <w:lang w:val="en-US"/>
        </w:rPr>
        <w:t xml:space="preserve">If a bidder references a technical proposal, please indicate where the relevant information can be found. </w:t>
      </w:r>
    </w:p>
    <w:p w14:paraId="79ED2592" w14:textId="125E285C" w:rsidR="0094366B" w:rsidRDefault="0094366B" w:rsidP="0094366B">
      <w:pPr>
        <w:pStyle w:val="ListParagraph"/>
        <w:numPr>
          <w:ilvl w:val="0"/>
          <w:numId w:val="31"/>
        </w:numPr>
        <w:overflowPunct/>
        <w:autoSpaceDE/>
        <w:autoSpaceDN/>
        <w:adjustRightInd/>
        <w:spacing w:line="276" w:lineRule="auto"/>
        <w:textAlignment w:val="auto"/>
        <w:rPr>
          <w:bCs/>
          <w:color w:val="000000" w:themeColor="text1"/>
          <w:sz w:val="22"/>
          <w:szCs w:val="22"/>
          <w:lang w:val="en-US"/>
        </w:rPr>
      </w:pPr>
      <w:r>
        <w:rPr>
          <w:bCs/>
          <w:color w:val="000000" w:themeColor="text1"/>
          <w:sz w:val="22"/>
          <w:szCs w:val="22"/>
          <w:lang w:val="en-US"/>
        </w:rPr>
        <w:t xml:space="preserve">Generic statements such as “we shall customize to your needs/requirements” are </w:t>
      </w:r>
      <w:r w:rsidRPr="00261DF3">
        <w:rPr>
          <w:b/>
          <w:color w:val="000000" w:themeColor="text1"/>
          <w:sz w:val="22"/>
          <w:szCs w:val="22"/>
          <w:lang w:val="en-US"/>
        </w:rPr>
        <w:t>NOT</w:t>
      </w:r>
      <w:r>
        <w:rPr>
          <w:bCs/>
          <w:color w:val="000000" w:themeColor="text1"/>
          <w:sz w:val="22"/>
          <w:szCs w:val="22"/>
          <w:lang w:val="en-US"/>
        </w:rPr>
        <w:t xml:space="preserve"> acceptable. </w:t>
      </w:r>
    </w:p>
    <w:p w14:paraId="2935E288" w14:textId="77777777" w:rsidR="0094366B" w:rsidRPr="0094366B" w:rsidRDefault="0094366B" w:rsidP="0094366B">
      <w:pPr>
        <w:pStyle w:val="ListParagraph"/>
        <w:overflowPunct/>
        <w:autoSpaceDE/>
        <w:autoSpaceDN/>
        <w:adjustRightInd/>
        <w:ind w:firstLine="0"/>
        <w:textAlignment w:val="auto"/>
        <w:rPr>
          <w:bCs/>
          <w:color w:val="000000" w:themeColor="text1"/>
          <w:sz w:val="22"/>
          <w:szCs w:val="22"/>
          <w:lang w:val="en-US"/>
        </w:rPr>
      </w:pP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6901"/>
        <w:gridCol w:w="1239"/>
        <w:gridCol w:w="6342"/>
      </w:tblGrid>
      <w:tr w:rsidR="00581DD3" w:rsidRPr="00665C29" w14:paraId="4038E785" w14:textId="77777777" w:rsidTr="00DB15B9">
        <w:trPr>
          <w:trHeight w:val="498"/>
          <w:tblHeader/>
        </w:trPr>
        <w:tc>
          <w:tcPr>
            <w:tcW w:w="715"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01"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1239"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6342" w:type="dxa"/>
          </w:tcPr>
          <w:p w14:paraId="5F544DC8" w14:textId="5F5E2C07" w:rsidR="002149AA" w:rsidRPr="00665C29" w:rsidRDefault="00581DD3" w:rsidP="003636F3">
            <w:pPr>
              <w:overflowPunct/>
              <w:autoSpaceDE/>
              <w:autoSpaceDN/>
              <w:adjustRightInd/>
              <w:ind w:firstLine="0"/>
              <w:contextualSpacing/>
              <w:jc w:val="center"/>
              <w:textAlignment w:val="auto"/>
              <w:rPr>
                <w:b/>
                <w:color w:val="000000"/>
                <w:sz w:val="20"/>
              </w:rPr>
            </w:pPr>
            <w:r w:rsidRPr="007B776E">
              <w:rPr>
                <w:b/>
                <w:color w:val="FF0000"/>
                <w:sz w:val="20"/>
              </w:rPr>
              <w:t>Bidder’s</w:t>
            </w:r>
            <w:r w:rsidR="007B776E" w:rsidRPr="007B776E">
              <w:rPr>
                <w:b/>
                <w:color w:val="FF0000"/>
                <w:sz w:val="20"/>
              </w:rPr>
              <w:t xml:space="preserve"> technical details and explanations</w:t>
            </w:r>
            <w:r w:rsidR="004B6B65">
              <w:rPr>
                <w:b/>
                <w:color w:val="FF0000"/>
                <w:sz w:val="20"/>
              </w:rPr>
              <w:t xml:space="preserve"> </w:t>
            </w:r>
            <w:r w:rsidR="004B6B65" w:rsidRPr="004B6B65">
              <w:rPr>
                <w:b/>
                <w:sz w:val="20"/>
              </w:rPr>
              <w:t>(Expand rows as needed)</w:t>
            </w:r>
          </w:p>
        </w:tc>
      </w:tr>
      <w:tr w:rsidR="002149AA" w:rsidRPr="00665C29" w14:paraId="5C195CA9" w14:textId="77777777" w:rsidTr="00DB15B9">
        <w:tc>
          <w:tcPr>
            <w:tcW w:w="715" w:type="dxa"/>
            <w:shd w:val="clear" w:color="auto" w:fill="DEEAF6" w:themeFill="accent5" w:themeFillTint="33"/>
          </w:tcPr>
          <w:p w14:paraId="6216A870" w14:textId="5DC924B7" w:rsidR="002149AA" w:rsidRPr="00665C29" w:rsidRDefault="004E0DBD" w:rsidP="003636F3">
            <w:pPr>
              <w:overflowPunct/>
              <w:autoSpaceDE/>
              <w:autoSpaceDN/>
              <w:adjustRightInd/>
              <w:ind w:firstLine="0"/>
              <w:textAlignment w:val="auto"/>
              <w:rPr>
                <w:b/>
                <w:color w:val="000000"/>
                <w:sz w:val="20"/>
              </w:rPr>
            </w:pPr>
            <w:r>
              <w:rPr>
                <w:b/>
                <w:color w:val="000000"/>
                <w:sz w:val="20"/>
              </w:rPr>
              <w:t>1</w:t>
            </w:r>
            <w:r w:rsidR="00BC2F60">
              <w:rPr>
                <w:b/>
                <w:color w:val="000000"/>
                <w:sz w:val="20"/>
              </w:rPr>
              <w:t>.</w:t>
            </w:r>
          </w:p>
        </w:tc>
        <w:tc>
          <w:tcPr>
            <w:tcW w:w="6901" w:type="dxa"/>
            <w:shd w:val="clear" w:color="auto" w:fill="DEEAF6" w:themeFill="accent5" w:themeFillTint="33"/>
          </w:tcPr>
          <w:p w14:paraId="0D4020C2" w14:textId="77777777" w:rsidR="002149AA" w:rsidRDefault="002149AA" w:rsidP="003636F3">
            <w:pPr>
              <w:overflowPunct/>
              <w:autoSpaceDE/>
              <w:autoSpaceDN/>
              <w:adjustRightInd/>
              <w:ind w:firstLine="0"/>
              <w:textAlignment w:val="auto"/>
              <w:rPr>
                <w:b/>
                <w:color w:val="000000"/>
                <w:sz w:val="20"/>
              </w:rPr>
            </w:pPr>
            <w:r w:rsidRPr="005A3D70">
              <w:rPr>
                <w:b/>
                <w:color w:val="000000"/>
                <w:sz w:val="20"/>
              </w:rPr>
              <w:t>Requirements</w:t>
            </w:r>
          </w:p>
          <w:p w14:paraId="1A48C9B3" w14:textId="6F7BEABF" w:rsidR="00BD7DAB" w:rsidRPr="005A3D70" w:rsidRDefault="00BD7DAB" w:rsidP="003636F3">
            <w:pPr>
              <w:overflowPunct/>
              <w:autoSpaceDE/>
              <w:autoSpaceDN/>
              <w:adjustRightInd/>
              <w:ind w:firstLine="0"/>
              <w:textAlignment w:val="auto"/>
              <w:rPr>
                <w:b/>
                <w:color w:val="000000"/>
                <w:sz w:val="20"/>
              </w:rPr>
            </w:pPr>
          </w:p>
        </w:tc>
        <w:tc>
          <w:tcPr>
            <w:tcW w:w="1239"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6342"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B8245B">
        <w:trPr>
          <w:trHeight w:val="584"/>
        </w:trPr>
        <w:tc>
          <w:tcPr>
            <w:tcW w:w="715" w:type="dxa"/>
            <w:shd w:val="clear" w:color="auto" w:fill="auto"/>
          </w:tcPr>
          <w:p w14:paraId="5404B149" w14:textId="00E94657"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086D6468" w14:textId="77777777" w:rsidR="00273AD3" w:rsidRDefault="00B8245B" w:rsidP="000D0442">
            <w:pPr>
              <w:overflowPunct/>
              <w:autoSpaceDE/>
              <w:autoSpaceDN/>
              <w:adjustRightInd/>
              <w:ind w:firstLine="0"/>
              <w:textAlignment w:val="auto"/>
              <w:rPr>
                <w:sz w:val="20"/>
              </w:rPr>
            </w:pPr>
            <w:r w:rsidRPr="00B8245B">
              <w:rPr>
                <w:sz w:val="20"/>
              </w:rPr>
              <w:t xml:space="preserve">78 patient doses of Lu-177-PSMA-I&amp;T (each dose containing 7 400 MBq, 200 </w:t>
            </w:r>
            <w:proofErr w:type="spellStart"/>
            <w:r w:rsidRPr="00B8245B">
              <w:rPr>
                <w:sz w:val="20"/>
              </w:rPr>
              <w:t>mCi</w:t>
            </w:r>
            <w:proofErr w:type="spellEnd"/>
            <w:r w:rsidRPr="00B8245B">
              <w:rPr>
                <w:sz w:val="20"/>
              </w:rPr>
              <w:t xml:space="preserve"> on the calibration date).</w:t>
            </w:r>
          </w:p>
          <w:p w14:paraId="53121AF4" w14:textId="74469B1A" w:rsidR="00BD7DAB" w:rsidRPr="000D0442" w:rsidRDefault="00BD7DAB" w:rsidP="000D0442">
            <w:pPr>
              <w:overflowPunct/>
              <w:autoSpaceDE/>
              <w:autoSpaceDN/>
              <w:adjustRightInd/>
              <w:ind w:firstLine="0"/>
              <w:textAlignment w:val="auto"/>
              <w:rPr>
                <w:sz w:val="20"/>
              </w:rPr>
            </w:pPr>
          </w:p>
        </w:tc>
        <w:tc>
          <w:tcPr>
            <w:tcW w:w="1239" w:type="dxa"/>
            <w:shd w:val="clear" w:color="auto" w:fill="auto"/>
          </w:tcPr>
          <w:p w14:paraId="7B0386C7" w14:textId="77777777" w:rsidR="00424A1D" w:rsidRPr="003C65C5" w:rsidRDefault="003A3826"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3A3826"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bookmarkEnd w:id="0"/>
      <w:tr w:rsidR="00581DD3" w:rsidRPr="00665C29" w14:paraId="3AFD0311" w14:textId="77777777" w:rsidTr="00DB15B9">
        <w:tc>
          <w:tcPr>
            <w:tcW w:w="715" w:type="dxa"/>
            <w:shd w:val="clear" w:color="auto" w:fill="DEEAF6"/>
          </w:tcPr>
          <w:p w14:paraId="5115292A" w14:textId="0CA28B11" w:rsidR="002149AA" w:rsidRPr="00665C29" w:rsidRDefault="00060365" w:rsidP="003636F3">
            <w:pPr>
              <w:overflowPunct/>
              <w:autoSpaceDE/>
              <w:autoSpaceDN/>
              <w:adjustRightInd/>
              <w:ind w:firstLine="0"/>
              <w:textAlignment w:val="auto"/>
              <w:rPr>
                <w:b/>
                <w:color w:val="000000"/>
                <w:sz w:val="20"/>
              </w:rPr>
            </w:pPr>
            <w:r>
              <w:rPr>
                <w:b/>
                <w:color w:val="000000"/>
                <w:sz w:val="20"/>
              </w:rPr>
              <w:t>3</w:t>
            </w:r>
          </w:p>
        </w:tc>
        <w:tc>
          <w:tcPr>
            <w:tcW w:w="6901" w:type="dxa"/>
            <w:shd w:val="clear" w:color="auto" w:fill="DEEAF6"/>
          </w:tcPr>
          <w:p w14:paraId="33D90EE5" w14:textId="7ABA4FF6" w:rsidR="002149AA" w:rsidRPr="00665C29" w:rsidRDefault="003A3826" w:rsidP="003636F3">
            <w:pPr>
              <w:overflowPunct/>
              <w:autoSpaceDE/>
              <w:autoSpaceDN/>
              <w:adjustRightInd/>
              <w:ind w:firstLine="0"/>
              <w:textAlignment w:val="auto"/>
              <w:rPr>
                <w:b/>
                <w:color w:val="000000"/>
                <w:sz w:val="20"/>
              </w:rPr>
            </w:pPr>
            <w:r>
              <w:rPr>
                <w:b/>
                <w:color w:val="000000"/>
                <w:sz w:val="20"/>
              </w:rPr>
              <w:t xml:space="preserve">Packing </w:t>
            </w:r>
          </w:p>
        </w:tc>
        <w:tc>
          <w:tcPr>
            <w:tcW w:w="1239"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DB15B9">
        <w:tc>
          <w:tcPr>
            <w:tcW w:w="715"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6840EE67" w14:textId="77777777" w:rsidR="002F7CBF" w:rsidRDefault="00060365" w:rsidP="00060365">
            <w:pPr>
              <w:overflowPunct/>
              <w:autoSpaceDE/>
              <w:autoSpaceDN/>
              <w:adjustRightInd/>
              <w:ind w:firstLine="0"/>
              <w:textAlignment w:val="auto"/>
              <w:rPr>
                <w:color w:val="000000"/>
                <w:sz w:val="20"/>
              </w:rPr>
            </w:pPr>
            <w:r w:rsidRPr="00060365">
              <w:rPr>
                <w:color w:val="000000"/>
                <w:sz w:val="20"/>
              </w:rPr>
              <w:t xml:space="preserve">Clear, colourless type I glass vial, closed with a </w:t>
            </w:r>
            <w:proofErr w:type="spellStart"/>
            <w:r w:rsidRPr="00060365">
              <w:rPr>
                <w:color w:val="000000"/>
                <w:sz w:val="20"/>
              </w:rPr>
              <w:t>bromobutyl</w:t>
            </w:r>
            <w:proofErr w:type="spellEnd"/>
            <w:r w:rsidRPr="00060365">
              <w:rPr>
                <w:color w:val="000000"/>
                <w:sz w:val="20"/>
              </w:rPr>
              <w:t xml:space="preserve"> rubber stopper and aluminium seal. Each vial contains </w:t>
            </w:r>
            <w:proofErr w:type="gramStart"/>
            <w:r w:rsidRPr="00060365">
              <w:rPr>
                <w:color w:val="000000"/>
                <w:sz w:val="20"/>
              </w:rPr>
              <w:t>an</w:t>
            </w:r>
            <w:proofErr w:type="gramEnd"/>
            <w:r w:rsidRPr="00060365">
              <w:rPr>
                <w:color w:val="000000"/>
                <w:sz w:val="20"/>
              </w:rPr>
              <w:t xml:space="preserve"> sterile pyrogen free injection solution that can range from 7.5 mL to 12.5 mL corresponding to a radioactivity of 7 400 MBq ±10% at the date and time of administration.</w:t>
            </w:r>
            <w:r>
              <w:t xml:space="preserve"> The </w:t>
            </w:r>
            <w:r w:rsidRPr="00060365">
              <w:rPr>
                <w:color w:val="000000"/>
                <w:sz w:val="20"/>
              </w:rPr>
              <w:t>vial is enclosed within lead container with adequate protective shielding as per radiation protection regulation.</w:t>
            </w:r>
          </w:p>
          <w:p w14:paraId="1043642A" w14:textId="3AD8F579" w:rsidR="00BD7DAB" w:rsidRPr="00B477A5" w:rsidRDefault="00BD7DAB" w:rsidP="00060365">
            <w:pPr>
              <w:overflowPunct/>
              <w:autoSpaceDE/>
              <w:autoSpaceDN/>
              <w:adjustRightInd/>
              <w:ind w:firstLine="0"/>
              <w:textAlignment w:val="auto"/>
              <w:rPr>
                <w:color w:val="000000"/>
                <w:sz w:val="20"/>
              </w:rPr>
            </w:pPr>
          </w:p>
        </w:tc>
        <w:tc>
          <w:tcPr>
            <w:tcW w:w="1239" w:type="dxa"/>
            <w:shd w:val="clear" w:color="auto" w:fill="auto"/>
          </w:tcPr>
          <w:p w14:paraId="12FD49A5" w14:textId="77777777" w:rsidR="00424A1D" w:rsidRPr="003C65C5" w:rsidRDefault="003A3826"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3A3826"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DB15B9">
        <w:tc>
          <w:tcPr>
            <w:tcW w:w="715" w:type="dxa"/>
            <w:shd w:val="clear" w:color="auto" w:fill="DEEAF6"/>
          </w:tcPr>
          <w:p w14:paraId="23B63159" w14:textId="5E68D369" w:rsidR="00CB0372" w:rsidRDefault="00A075EA" w:rsidP="003636F3">
            <w:pPr>
              <w:overflowPunct/>
              <w:autoSpaceDE/>
              <w:autoSpaceDN/>
              <w:adjustRightInd/>
              <w:ind w:firstLine="0"/>
              <w:textAlignment w:val="auto"/>
              <w:rPr>
                <w:b/>
                <w:color w:val="000000"/>
                <w:sz w:val="20"/>
              </w:rPr>
            </w:pPr>
            <w:r>
              <w:rPr>
                <w:b/>
                <w:color w:val="000000"/>
                <w:sz w:val="20"/>
              </w:rPr>
              <w:t>4</w:t>
            </w:r>
          </w:p>
        </w:tc>
        <w:tc>
          <w:tcPr>
            <w:tcW w:w="6901" w:type="dxa"/>
            <w:shd w:val="clear" w:color="auto" w:fill="DEEAF6"/>
          </w:tcPr>
          <w:p w14:paraId="1F8FF4EE" w14:textId="0E8296CA" w:rsidR="00CB0372" w:rsidRPr="00747F0B" w:rsidRDefault="00A075EA" w:rsidP="003636F3">
            <w:pPr>
              <w:overflowPunct/>
              <w:autoSpaceDE/>
              <w:autoSpaceDN/>
              <w:adjustRightInd/>
              <w:ind w:firstLine="0"/>
              <w:textAlignment w:val="auto"/>
              <w:rPr>
                <w:b/>
                <w:color w:val="000000"/>
                <w:sz w:val="20"/>
              </w:rPr>
            </w:pPr>
            <w:r w:rsidRPr="00A075EA">
              <w:rPr>
                <w:b/>
                <w:color w:val="000000"/>
                <w:sz w:val="20"/>
              </w:rPr>
              <w:t>Quality Requirements</w:t>
            </w:r>
          </w:p>
        </w:tc>
        <w:tc>
          <w:tcPr>
            <w:tcW w:w="1239" w:type="dxa"/>
            <w:shd w:val="clear" w:color="auto" w:fill="DEEAF6"/>
          </w:tcPr>
          <w:p w14:paraId="70B420E1" w14:textId="77777777" w:rsidR="00CB0372" w:rsidRPr="00665C29" w:rsidRDefault="00CB0372"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DB15B9">
        <w:tc>
          <w:tcPr>
            <w:tcW w:w="715"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6901" w:type="dxa"/>
            <w:shd w:val="clear" w:color="auto" w:fill="auto"/>
          </w:tcPr>
          <w:p w14:paraId="58819E2D" w14:textId="77777777" w:rsidR="00A075EA" w:rsidRPr="00A075EA" w:rsidRDefault="00A075EA" w:rsidP="00A075EA">
            <w:pPr>
              <w:suppressAutoHyphens/>
              <w:overflowPunct/>
              <w:autoSpaceDE/>
              <w:autoSpaceDN/>
              <w:adjustRightInd/>
              <w:spacing w:after="60"/>
              <w:ind w:firstLine="0"/>
              <w:jc w:val="both"/>
              <w:textAlignment w:val="auto"/>
              <w:rPr>
                <w:sz w:val="20"/>
              </w:rPr>
            </w:pPr>
            <w:r w:rsidRPr="00A075EA">
              <w:rPr>
                <w:sz w:val="20"/>
              </w:rPr>
              <w:t>Radiopharmaceuticals should be prepared in a manner which satisfies both radiation safety and pharmaceutical quality requirements, according to the Good Manufacturing Practices.</w:t>
            </w:r>
          </w:p>
          <w:p w14:paraId="204D134F" w14:textId="2F2BD98A" w:rsidR="00BD7DAB" w:rsidRDefault="00A075EA" w:rsidP="00A075EA">
            <w:pPr>
              <w:suppressAutoHyphens/>
              <w:overflowPunct/>
              <w:autoSpaceDE/>
              <w:autoSpaceDN/>
              <w:adjustRightInd/>
              <w:spacing w:after="60"/>
              <w:ind w:firstLine="0"/>
              <w:jc w:val="both"/>
              <w:textAlignment w:val="auto"/>
              <w:rPr>
                <w:sz w:val="20"/>
              </w:rPr>
            </w:pPr>
            <w:r w:rsidRPr="00A075EA">
              <w:rPr>
                <w:sz w:val="20"/>
              </w:rPr>
              <w:t>Radiopharmaceuticals should be received, used and administered only by authorised persons in designated clinical settings. Preparation, receipt, storage, use, transfer and disposal of radiopharmaceutical are subject to the applicable regulations and/or appropriate licences from the competent regulatory agencies.</w:t>
            </w:r>
          </w:p>
          <w:p w14:paraId="5494F2E4" w14:textId="7F9E1616" w:rsidR="00BD7DAB" w:rsidRPr="008D1FEE" w:rsidRDefault="00BD7DAB" w:rsidP="00A075EA">
            <w:pPr>
              <w:suppressAutoHyphens/>
              <w:overflowPunct/>
              <w:autoSpaceDE/>
              <w:autoSpaceDN/>
              <w:adjustRightInd/>
              <w:spacing w:after="60"/>
              <w:ind w:firstLine="0"/>
              <w:jc w:val="both"/>
              <w:textAlignment w:val="auto"/>
              <w:rPr>
                <w:sz w:val="20"/>
              </w:rPr>
            </w:pPr>
          </w:p>
        </w:tc>
        <w:tc>
          <w:tcPr>
            <w:tcW w:w="1239" w:type="dxa"/>
            <w:shd w:val="clear" w:color="auto" w:fill="auto"/>
          </w:tcPr>
          <w:p w14:paraId="4514A62C" w14:textId="77777777" w:rsidR="00C56A73" w:rsidRPr="003C65C5" w:rsidRDefault="003A3826"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Yes</w:t>
            </w:r>
          </w:p>
          <w:p w14:paraId="7137031F" w14:textId="4437D075" w:rsidR="00CB0372" w:rsidRPr="00665C29" w:rsidRDefault="003A3826"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No</w:t>
            </w:r>
          </w:p>
        </w:tc>
        <w:tc>
          <w:tcPr>
            <w:tcW w:w="6342"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DB15B9">
        <w:tc>
          <w:tcPr>
            <w:tcW w:w="715" w:type="dxa"/>
            <w:shd w:val="clear" w:color="auto" w:fill="DEEAF6"/>
          </w:tcPr>
          <w:p w14:paraId="75BD0466" w14:textId="32043781" w:rsidR="002149AA" w:rsidRPr="00665C29" w:rsidRDefault="00274858" w:rsidP="003636F3">
            <w:pPr>
              <w:overflowPunct/>
              <w:autoSpaceDE/>
              <w:autoSpaceDN/>
              <w:adjustRightInd/>
              <w:ind w:firstLine="0"/>
              <w:textAlignment w:val="auto"/>
              <w:rPr>
                <w:b/>
                <w:color w:val="000000"/>
                <w:sz w:val="20"/>
              </w:rPr>
            </w:pPr>
            <w:r>
              <w:rPr>
                <w:b/>
                <w:color w:val="000000"/>
                <w:sz w:val="20"/>
              </w:rPr>
              <w:lastRenderedPageBreak/>
              <w:t>5</w:t>
            </w:r>
          </w:p>
        </w:tc>
        <w:tc>
          <w:tcPr>
            <w:tcW w:w="6901" w:type="dxa"/>
            <w:shd w:val="clear" w:color="auto" w:fill="DEEAF6"/>
          </w:tcPr>
          <w:p w14:paraId="6F5EC546" w14:textId="56BF2F1C" w:rsidR="002149AA" w:rsidRPr="00665C29" w:rsidRDefault="003A3826" w:rsidP="003636F3">
            <w:pPr>
              <w:overflowPunct/>
              <w:autoSpaceDE/>
              <w:autoSpaceDN/>
              <w:adjustRightInd/>
              <w:ind w:firstLine="0"/>
              <w:textAlignment w:val="auto"/>
              <w:rPr>
                <w:b/>
                <w:color w:val="000000"/>
                <w:sz w:val="20"/>
              </w:rPr>
            </w:pPr>
            <w:r>
              <w:rPr>
                <w:b/>
                <w:color w:val="000000"/>
                <w:sz w:val="20"/>
              </w:rPr>
              <w:t>Testing and Acceptance</w:t>
            </w:r>
          </w:p>
        </w:tc>
        <w:tc>
          <w:tcPr>
            <w:tcW w:w="1239"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DB15B9">
        <w:tc>
          <w:tcPr>
            <w:tcW w:w="715" w:type="dxa"/>
            <w:shd w:val="clear" w:color="auto" w:fill="auto"/>
          </w:tcPr>
          <w:p w14:paraId="5E2B6E5C" w14:textId="3339A1E8"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7A2070F9" w14:textId="77777777" w:rsidR="00274858" w:rsidRPr="00274858" w:rsidRDefault="00274858" w:rsidP="00274858">
            <w:pPr>
              <w:suppressAutoHyphens/>
              <w:overflowPunct/>
              <w:autoSpaceDE/>
              <w:autoSpaceDN/>
              <w:adjustRightInd/>
              <w:spacing w:after="60"/>
              <w:ind w:right="113" w:firstLine="0"/>
              <w:jc w:val="both"/>
              <w:textAlignment w:val="auto"/>
              <w:rPr>
                <w:sz w:val="20"/>
              </w:rPr>
            </w:pPr>
            <w:r w:rsidRPr="00274858">
              <w:rPr>
                <w:sz w:val="20"/>
              </w:rPr>
              <w:t>5.1 Doses, prior to shipment, must be calibrated to the guaranteed delivery dates and marking quality requirements.</w:t>
            </w:r>
          </w:p>
          <w:p w14:paraId="499AEF80" w14:textId="77777777" w:rsidR="00274858" w:rsidRPr="00274858" w:rsidRDefault="00274858" w:rsidP="00274858">
            <w:pPr>
              <w:suppressAutoHyphens/>
              <w:overflowPunct/>
              <w:autoSpaceDE/>
              <w:autoSpaceDN/>
              <w:adjustRightInd/>
              <w:spacing w:after="60"/>
              <w:ind w:right="113" w:firstLine="0"/>
              <w:jc w:val="both"/>
              <w:textAlignment w:val="auto"/>
              <w:rPr>
                <w:sz w:val="20"/>
              </w:rPr>
            </w:pPr>
            <w:r w:rsidRPr="00274858">
              <w:rPr>
                <w:sz w:val="20"/>
              </w:rPr>
              <w:t xml:space="preserve">5.2 The dose calibration </w:t>
            </w:r>
            <w:proofErr w:type="gramStart"/>
            <w:r w:rsidRPr="00274858">
              <w:rPr>
                <w:sz w:val="20"/>
              </w:rPr>
              <w:t>values</w:t>
            </w:r>
            <w:proofErr w:type="gramEnd"/>
            <w:r w:rsidRPr="00274858">
              <w:rPr>
                <w:sz w:val="20"/>
              </w:rPr>
              <w:t xml:space="preserve"> and date will be documented by the Contractor in an acceptance protocol that will be signed by the End User.</w:t>
            </w:r>
          </w:p>
          <w:p w14:paraId="43359909" w14:textId="57E2E2D5" w:rsidR="00174680" w:rsidRPr="00750D61" w:rsidRDefault="00274858" w:rsidP="00274858">
            <w:pPr>
              <w:suppressAutoHyphens/>
              <w:overflowPunct/>
              <w:autoSpaceDE/>
              <w:autoSpaceDN/>
              <w:adjustRightInd/>
              <w:spacing w:after="60"/>
              <w:ind w:right="113" w:firstLine="0"/>
              <w:jc w:val="both"/>
              <w:textAlignment w:val="auto"/>
              <w:rPr>
                <w:sz w:val="20"/>
              </w:rPr>
            </w:pPr>
            <w:r w:rsidRPr="00274858">
              <w:rPr>
                <w:sz w:val="20"/>
              </w:rPr>
              <w:t>5.3 All relevant quality testing reports of the radiopharmaceutical batch should be documented and supplied with the consignment.</w:t>
            </w:r>
          </w:p>
        </w:tc>
        <w:tc>
          <w:tcPr>
            <w:tcW w:w="1239" w:type="dxa"/>
            <w:shd w:val="clear" w:color="auto" w:fill="auto"/>
          </w:tcPr>
          <w:p w14:paraId="6D0C4FBD" w14:textId="77777777" w:rsidR="00424A1D" w:rsidRPr="003C65C5" w:rsidRDefault="003A3826"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3A3826"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DB15B9">
        <w:tc>
          <w:tcPr>
            <w:tcW w:w="715" w:type="dxa"/>
            <w:shd w:val="clear" w:color="auto" w:fill="DEEAF6"/>
          </w:tcPr>
          <w:p w14:paraId="14560732" w14:textId="6F821321" w:rsidR="002149AA" w:rsidRPr="00665C29" w:rsidRDefault="00274858" w:rsidP="003636F3">
            <w:pPr>
              <w:overflowPunct/>
              <w:autoSpaceDE/>
              <w:autoSpaceDN/>
              <w:adjustRightInd/>
              <w:ind w:firstLine="0"/>
              <w:textAlignment w:val="auto"/>
              <w:rPr>
                <w:b/>
                <w:color w:val="000000"/>
                <w:sz w:val="20"/>
              </w:rPr>
            </w:pPr>
            <w:r>
              <w:rPr>
                <w:b/>
                <w:color w:val="000000"/>
                <w:sz w:val="20"/>
              </w:rPr>
              <w:t>7</w:t>
            </w:r>
          </w:p>
        </w:tc>
        <w:tc>
          <w:tcPr>
            <w:tcW w:w="6901" w:type="dxa"/>
            <w:shd w:val="clear" w:color="auto" w:fill="DEEAF6"/>
          </w:tcPr>
          <w:p w14:paraId="435EBD64" w14:textId="599ADC66" w:rsidR="002149AA" w:rsidRPr="00665C29" w:rsidRDefault="00274858" w:rsidP="003636F3">
            <w:pPr>
              <w:overflowPunct/>
              <w:autoSpaceDE/>
              <w:autoSpaceDN/>
              <w:adjustRightInd/>
              <w:ind w:firstLine="0"/>
              <w:textAlignment w:val="auto"/>
              <w:rPr>
                <w:b/>
                <w:color w:val="000000"/>
                <w:sz w:val="20"/>
              </w:rPr>
            </w:pPr>
            <w:r>
              <w:rPr>
                <w:b/>
                <w:color w:val="000000"/>
                <w:sz w:val="20"/>
              </w:rPr>
              <w:t>Delivery</w:t>
            </w:r>
          </w:p>
        </w:tc>
        <w:tc>
          <w:tcPr>
            <w:tcW w:w="1239"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6342"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DB15B9">
        <w:tc>
          <w:tcPr>
            <w:tcW w:w="715"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901" w:type="dxa"/>
            <w:shd w:val="clear" w:color="auto" w:fill="auto"/>
          </w:tcPr>
          <w:p w14:paraId="72FFEABF" w14:textId="2FB51091" w:rsidR="00BB2422" w:rsidRPr="00BB2422" w:rsidRDefault="00BB2422" w:rsidP="00BB2422">
            <w:pPr>
              <w:suppressAutoHyphens/>
              <w:overflowPunct/>
              <w:autoSpaceDE/>
              <w:autoSpaceDN/>
              <w:adjustRightInd/>
              <w:spacing w:after="60"/>
              <w:ind w:firstLine="0"/>
              <w:jc w:val="both"/>
              <w:textAlignment w:val="auto"/>
              <w:rPr>
                <w:sz w:val="20"/>
              </w:rPr>
            </w:pPr>
            <w:r w:rsidRPr="00BB2422">
              <w:rPr>
                <w:sz w:val="20"/>
              </w:rPr>
              <w:t>Delivery and internal transportation- batches-timeframe (18 months). Doses will be required in batches. The schedule is not fixed and depends on the patient studies.</w:t>
            </w:r>
          </w:p>
          <w:p w14:paraId="5EDDA063" w14:textId="77777777" w:rsidR="00BB2422" w:rsidRPr="00BB2422" w:rsidRDefault="00BB2422" w:rsidP="00BB2422">
            <w:pPr>
              <w:suppressAutoHyphens/>
              <w:overflowPunct/>
              <w:autoSpaceDE/>
              <w:autoSpaceDN/>
              <w:adjustRightInd/>
              <w:spacing w:after="60"/>
              <w:ind w:firstLine="0"/>
              <w:jc w:val="both"/>
              <w:textAlignment w:val="auto"/>
              <w:rPr>
                <w:sz w:val="20"/>
              </w:rPr>
            </w:pPr>
            <w:r w:rsidRPr="00BB2422">
              <w:rPr>
                <w:sz w:val="20"/>
              </w:rPr>
              <w:t xml:space="preserve">The injection should not be frozen. Stored in the original package </w:t>
            </w:r>
            <w:proofErr w:type="gramStart"/>
            <w:r w:rsidRPr="00BB2422">
              <w:rPr>
                <w:sz w:val="20"/>
              </w:rPr>
              <w:t>in order to</w:t>
            </w:r>
            <w:proofErr w:type="gramEnd"/>
            <w:r w:rsidRPr="00BB2422">
              <w:rPr>
                <w:sz w:val="20"/>
              </w:rPr>
              <w:t xml:space="preserve"> protect from ionising radiation (lead shielding). Handling, transportation storage and disposal of radiopharmaceuticals should be in accordance with national regulations on radioactive materials. The doses will be delivered to the selected participating hospitals in different regions of Brazil for 1.5 years (18 months) starting from the first delivered batch. All training and support for use will be provided by SBMN.</w:t>
            </w:r>
          </w:p>
          <w:p w14:paraId="7E1565B6" w14:textId="353DE707" w:rsidR="00F97A47" w:rsidRPr="00A900B4" w:rsidRDefault="00F97A47" w:rsidP="00B62723">
            <w:pPr>
              <w:suppressAutoHyphens/>
              <w:overflowPunct/>
              <w:autoSpaceDE/>
              <w:autoSpaceDN/>
              <w:adjustRightInd/>
              <w:spacing w:after="60"/>
              <w:ind w:firstLine="0"/>
              <w:jc w:val="both"/>
              <w:textAlignment w:val="auto"/>
              <w:rPr>
                <w:sz w:val="20"/>
              </w:rPr>
            </w:pPr>
          </w:p>
        </w:tc>
        <w:tc>
          <w:tcPr>
            <w:tcW w:w="1239" w:type="dxa"/>
            <w:shd w:val="clear" w:color="auto" w:fill="auto"/>
          </w:tcPr>
          <w:p w14:paraId="1D1E9301" w14:textId="77777777" w:rsidR="00424A1D" w:rsidRPr="003C65C5" w:rsidRDefault="003A3826"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3A3826"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6342"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B13C9" w14:paraId="3259DA6C" w14:textId="77777777" w:rsidTr="00DB15B9">
        <w:tc>
          <w:tcPr>
            <w:tcW w:w="715" w:type="dxa"/>
            <w:shd w:val="clear" w:color="auto" w:fill="DEEAF6" w:themeFill="accent5" w:themeFillTint="33"/>
          </w:tcPr>
          <w:p w14:paraId="1710EAD7" w14:textId="77811FFC" w:rsidR="002149AA" w:rsidRPr="006B13C9" w:rsidRDefault="00C85265" w:rsidP="00867941">
            <w:pPr>
              <w:overflowPunct/>
              <w:autoSpaceDE/>
              <w:autoSpaceDN/>
              <w:adjustRightInd/>
              <w:ind w:firstLine="0"/>
              <w:textAlignment w:val="auto"/>
              <w:rPr>
                <w:b/>
                <w:color w:val="000000"/>
                <w:sz w:val="20"/>
              </w:rPr>
            </w:pPr>
            <w:r>
              <w:rPr>
                <w:b/>
                <w:color w:val="000000"/>
                <w:sz w:val="20"/>
              </w:rPr>
              <w:t>8</w:t>
            </w:r>
          </w:p>
        </w:tc>
        <w:tc>
          <w:tcPr>
            <w:tcW w:w="6901"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1239" w:type="dxa"/>
            <w:shd w:val="clear" w:color="auto" w:fill="DEEAF6" w:themeFill="accent5" w:themeFillTint="33"/>
          </w:tcPr>
          <w:p w14:paraId="548B5CDC" w14:textId="5CF9BA1A" w:rsidR="002149AA" w:rsidRPr="006B13C9" w:rsidRDefault="002149AA" w:rsidP="00424A1D">
            <w:pPr>
              <w:tabs>
                <w:tab w:val="left" w:pos="459"/>
              </w:tabs>
              <w:overflowPunct/>
              <w:autoSpaceDE/>
              <w:autoSpaceDN/>
              <w:adjustRightInd/>
              <w:ind w:left="459" w:hanging="459"/>
              <w:contextualSpacing/>
              <w:textAlignment w:val="auto"/>
              <w:rPr>
                <w:b/>
                <w:color w:val="000000"/>
                <w:sz w:val="20"/>
              </w:rPr>
            </w:pPr>
          </w:p>
        </w:tc>
        <w:tc>
          <w:tcPr>
            <w:tcW w:w="6342"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DB15B9">
        <w:tc>
          <w:tcPr>
            <w:tcW w:w="715"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6901" w:type="dxa"/>
            <w:shd w:val="clear" w:color="auto" w:fill="auto"/>
          </w:tcPr>
          <w:p w14:paraId="6DE46467" w14:textId="67E7A964" w:rsidR="00867941" w:rsidRPr="0069687F" w:rsidRDefault="00C85265" w:rsidP="00656E42">
            <w:pPr>
              <w:tabs>
                <w:tab w:val="left" w:pos="459"/>
              </w:tabs>
              <w:overflowPunct/>
              <w:autoSpaceDE/>
              <w:autoSpaceDN/>
              <w:adjustRightInd/>
              <w:ind w:firstLine="0"/>
              <w:textAlignment w:val="auto"/>
              <w:rPr>
                <w:bCs/>
                <w:color w:val="000000"/>
                <w:sz w:val="20"/>
              </w:rPr>
            </w:pPr>
            <w:r w:rsidRPr="00C85265">
              <w:rPr>
                <w:bCs/>
                <w:color w:val="000000"/>
                <w:sz w:val="20"/>
              </w:rPr>
              <w:t>The Contractor shall provide the technical documentation of the item in the Portuguese language.</w:t>
            </w:r>
          </w:p>
        </w:tc>
        <w:tc>
          <w:tcPr>
            <w:tcW w:w="1239" w:type="dxa"/>
            <w:shd w:val="clear" w:color="auto" w:fill="auto"/>
          </w:tcPr>
          <w:p w14:paraId="346706E8" w14:textId="77777777" w:rsidR="006B13C9" w:rsidRPr="006B13C9"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Yes</w:t>
            </w:r>
          </w:p>
          <w:p w14:paraId="6DECBA1A" w14:textId="6F80BF15" w:rsidR="00867941"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No</w:t>
            </w:r>
          </w:p>
        </w:tc>
        <w:tc>
          <w:tcPr>
            <w:tcW w:w="6342"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bl>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FA9C" w14:textId="77777777" w:rsidR="00E93A71" w:rsidRDefault="00E93A71">
      <w:r>
        <w:separator/>
      </w:r>
    </w:p>
  </w:endnote>
  <w:endnote w:type="continuationSeparator" w:id="0">
    <w:p w14:paraId="2B39B25A" w14:textId="77777777" w:rsidR="00E93A71" w:rsidRDefault="00E9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ED0" w14:textId="77777777" w:rsidR="00174680" w:rsidRDefault="00174680">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5F8DB12E" w14:textId="22400EAC" w:rsidR="0090282D" w:rsidRPr="00174680" w:rsidRDefault="0090282D" w:rsidP="0017468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E0A0" w14:textId="77777777" w:rsidR="00E93A71" w:rsidRDefault="00E93A71">
      <w:r>
        <w:separator/>
      </w:r>
    </w:p>
  </w:footnote>
  <w:footnote w:type="continuationSeparator" w:id="0">
    <w:p w14:paraId="152518FC" w14:textId="77777777" w:rsidR="00E93A71" w:rsidRDefault="00E93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51DA96F0"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062835">
      <w:rPr>
        <w:b/>
      </w:rPr>
      <w:t xml:space="preserve"> </w:t>
    </w:r>
    <w:r w:rsidR="0017745F" w:rsidRPr="0017745F">
      <w:rPr>
        <w:b/>
      </w:rPr>
      <w:t>6</w:t>
    </w:r>
    <w:r w:rsidR="00AF40DB">
      <w:rPr>
        <w:b/>
      </w:rPr>
      <w:t>4960</w:t>
    </w:r>
    <w:r w:rsidR="00751C0D">
      <w:rPr>
        <w:b/>
      </w:rPr>
      <w:t>4</w:t>
    </w:r>
    <w:r w:rsidR="00B25839">
      <w:rPr>
        <w:b/>
      </w:rPr>
      <w:t>-</w:t>
    </w:r>
    <w:r w:rsidR="00062835">
      <w:rPr>
        <w:b/>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000002"/>
    <w:multiLevelType w:val="multilevel"/>
    <w:tmpl w:val="CF080634"/>
    <w:name w:val="WWNum6"/>
    <w:lvl w:ilvl="0">
      <w:start w:val="1"/>
      <w:numFmt w:val="decimal"/>
      <w:lvlText w:val="%1."/>
      <w:lvlJc w:val="left"/>
      <w:pPr>
        <w:tabs>
          <w:tab w:val="num" w:pos="0"/>
        </w:tabs>
        <w:ind w:left="360" w:hanging="360"/>
      </w:pPr>
    </w:lvl>
    <w:lvl w:ilvl="1">
      <w:start w:val="1"/>
      <w:numFmt w:val="decimal"/>
      <w:lvlText w:val="2.1.%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361479C"/>
    <w:multiLevelType w:val="multilevel"/>
    <w:tmpl w:val="F3B02B90"/>
    <w:lvl w:ilvl="0">
      <w:start w:val="7"/>
      <w:numFmt w:val="decimal"/>
      <w:lvlText w:val="%1."/>
      <w:lvlJc w:val="left"/>
      <w:pPr>
        <w:ind w:left="360" w:hanging="360"/>
      </w:pPr>
      <w:rPr>
        <w:rFonts w:hint="default"/>
      </w:rPr>
    </w:lvl>
    <w:lvl w:ilvl="1">
      <w:start w:val="1"/>
      <w:numFmt w:val="decimal"/>
      <w:lvlText w:val="%1.%2."/>
      <w:lvlJc w:val="left"/>
      <w:pPr>
        <w:ind w:left="985" w:hanging="36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4830" w:hanging="108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5"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C7FD5"/>
    <w:multiLevelType w:val="multilevel"/>
    <w:tmpl w:val="0A024088"/>
    <w:lvl w:ilvl="0">
      <w:start w:val="1"/>
      <w:numFmt w:val="decimal"/>
      <w:lvlText w:val="%1."/>
      <w:lvlJc w:val="left"/>
      <w:pPr>
        <w:tabs>
          <w:tab w:val="num" w:pos="0"/>
        </w:tabs>
        <w:ind w:left="360" w:hanging="360"/>
      </w:pPr>
    </w:lvl>
    <w:lvl w:ilvl="1">
      <w:start w:val="1"/>
      <w:numFmt w:val="decimal"/>
      <w:lvlText w:val="3.%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C5965A8"/>
    <w:multiLevelType w:val="multilevel"/>
    <w:tmpl w:val="429A7B28"/>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7E5FF1"/>
    <w:multiLevelType w:val="multilevel"/>
    <w:tmpl w:val="CE925644"/>
    <w:lvl w:ilvl="0">
      <w:start w:val="1"/>
      <w:numFmt w:val="decimal"/>
      <w:lvlText w:val="%1."/>
      <w:lvlJc w:val="left"/>
      <w:pPr>
        <w:tabs>
          <w:tab w:val="num" w:pos="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7E3067D"/>
    <w:multiLevelType w:val="multilevel"/>
    <w:tmpl w:val="50A8B24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9C437EF"/>
    <w:multiLevelType w:val="hybridMultilevel"/>
    <w:tmpl w:val="E74854CA"/>
    <w:lvl w:ilvl="0" w:tplc="FFFFFFFF">
      <w:start w:val="1"/>
      <w:numFmt w:val="decimal"/>
      <w:lvlText w:val="7.%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8E2CB8"/>
    <w:multiLevelType w:val="hybridMultilevel"/>
    <w:tmpl w:val="5B88FBCC"/>
    <w:lvl w:ilvl="0" w:tplc="FFFFFFFF">
      <w:start w:val="1"/>
      <w:numFmt w:val="decimal"/>
      <w:lvlText w:val="5.%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A34644"/>
    <w:multiLevelType w:val="hybridMultilevel"/>
    <w:tmpl w:val="AF4810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0"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FC32CFA"/>
    <w:multiLevelType w:val="multilevel"/>
    <w:tmpl w:val="CCB23EBE"/>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2.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3"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24" w15:restartNumberingAfterBreak="0">
    <w:nsid w:val="5371627F"/>
    <w:multiLevelType w:val="multilevel"/>
    <w:tmpl w:val="F6A0F6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D6494D"/>
    <w:multiLevelType w:val="multilevel"/>
    <w:tmpl w:val="D12E5E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89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23"/>
  </w:num>
  <w:num w:numId="2" w16cid:durableId="1878738136">
    <w:abstractNumId w:val="0"/>
  </w:num>
  <w:num w:numId="3" w16cid:durableId="463809800">
    <w:abstractNumId w:val="21"/>
  </w:num>
  <w:num w:numId="4" w16cid:durableId="609627992">
    <w:abstractNumId w:val="8"/>
  </w:num>
  <w:num w:numId="5" w16cid:durableId="1079521748">
    <w:abstractNumId w:val="9"/>
  </w:num>
  <w:num w:numId="6" w16cid:durableId="587427530">
    <w:abstractNumId w:val="3"/>
  </w:num>
  <w:num w:numId="7" w16cid:durableId="1817724793">
    <w:abstractNumId w:val="16"/>
  </w:num>
  <w:num w:numId="8" w16cid:durableId="799373514">
    <w:abstractNumId w:val="27"/>
  </w:num>
  <w:num w:numId="9" w16cid:durableId="1744572171">
    <w:abstractNumId w:val="12"/>
  </w:num>
  <w:num w:numId="10" w16cid:durableId="769205169">
    <w:abstractNumId w:val="30"/>
  </w:num>
  <w:num w:numId="11" w16cid:durableId="1209954382">
    <w:abstractNumId w:val="18"/>
  </w:num>
  <w:num w:numId="12" w16cid:durableId="1096904974">
    <w:abstractNumId w:val="29"/>
  </w:num>
  <w:num w:numId="13" w16cid:durableId="1643659951">
    <w:abstractNumId w:val="2"/>
  </w:num>
  <w:num w:numId="14" w16cid:durableId="1120877441">
    <w:abstractNumId w:val="5"/>
  </w:num>
  <w:num w:numId="15" w16cid:durableId="2058511562">
    <w:abstractNumId w:val="25"/>
  </w:num>
  <w:num w:numId="16" w16cid:durableId="1573155392">
    <w:abstractNumId w:val="17"/>
  </w:num>
  <w:num w:numId="17" w16cid:durableId="1098717464">
    <w:abstractNumId w:val="28"/>
  </w:num>
  <w:num w:numId="18" w16cid:durableId="1090008896">
    <w:abstractNumId w:val="20"/>
  </w:num>
  <w:num w:numId="19" w16cid:durableId="1886092538">
    <w:abstractNumId w:val="19"/>
  </w:num>
  <w:num w:numId="20" w16cid:durableId="562058728">
    <w:abstractNumId w:val="22"/>
  </w:num>
  <w:num w:numId="21" w16cid:durableId="1273630643">
    <w:abstractNumId w:val="1"/>
  </w:num>
  <w:num w:numId="22" w16cid:durableId="1729760691">
    <w:abstractNumId w:val="6"/>
  </w:num>
  <w:num w:numId="23" w16cid:durableId="1271207728">
    <w:abstractNumId w:val="14"/>
  </w:num>
  <w:num w:numId="24" w16cid:durableId="1679893143">
    <w:abstractNumId w:val="11"/>
  </w:num>
  <w:num w:numId="25" w16cid:durableId="1659724361">
    <w:abstractNumId w:val="10"/>
  </w:num>
  <w:num w:numId="26" w16cid:durableId="283662545">
    <w:abstractNumId w:val="13"/>
  </w:num>
  <w:num w:numId="27" w16cid:durableId="1444574078">
    <w:abstractNumId w:val="4"/>
  </w:num>
  <w:num w:numId="28" w16cid:durableId="625545218">
    <w:abstractNumId w:val="24"/>
  </w:num>
  <w:num w:numId="29" w16cid:durableId="641351711">
    <w:abstractNumId w:val="26"/>
  </w:num>
  <w:num w:numId="30" w16cid:durableId="663169132">
    <w:abstractNumId w:val="7"/>
  </w:num>
  <w:num w:numId="31" w16cid:durableId="4992741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2584"/>
    <w:rsid w:val="00042E25"/>
    <w:rsid w:val="00043494"/>
    <w:rsid w:val="000444D4"/>
    <w:rsid w:val="0005013C"/>
    <w:rsid w:val="00055B0C"/>
    <w:rsid w:val="00056917"/>
    <w:rsid w:val="00057615"/>
    <w:rsid w:val="00060365"/>
    <w:rsid w:val="00062835"/>
    <w:rsid w:val="00064621"/>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442"/>
    <w:rsid w:val="000D0804"/>
    <w:rsid w:val="000D1A26"/>
    <w:rsid w:val="000D29E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CAB"/>
    <w:rsid w:val="00130D9F"/>
    <w:rsid w:val="00134915"/>
    <w:rsid w:val="00136425"/>
    <w:rsid w:val="00137C7F"/>
    <w:rsid w:val="00137EAD"/>
    <w:rsid w:val="00140FD6"/>
    <w:rsid w:val="00142595"/>
    <w:rsid w:val="00145E13"/>
    <w:rsid w:val="00147091"/>
    <w:rsid w:val="0014740F"/>
    <w:rsid w:val="00150C4F"/>
    <w:rsid w:val="001548B8"/>
    <w:rsid w:val="00154930"/>
    <w:rsid w:val="00154F05"/>
    <w:rsid w:val="00155A70"/>
    <w:rsid w:val="00166838"/>
    <w:rsid w:val="00166F0B"/>
    <w:rsid w:val="00170A5E"/>
    <w:rsid w:val="001715E0"/>
    <w:rsid w:val="00172587"/>
    <w:rsid w:val="00174680"/>
    <w:rsid w:val="001749FD"/>
    <w:rsid w:val="00174EF3"/>
    <w:rsid w:val="0017745F"/>
    <w:rsid w:val="00181A80"/>
    <w:rsid w:val="0018333C"/>
    <w:rsid w:val="00183F0C"/>
    <w:rsid w:val="00186F80"/>
    <w:rsid w:val="0018709F"/>
    <w:rsid w:val="001A0B95"/>
    <w:rsid w:val="001A1385"/>
    <w:rsid w:val="001A1FAE"/>
    <w:rsid w:val="001A5A58"/>
    <w:rsid w:val="001B132A"/>
    <w:rsid w:val="001B142E"/>
    <w:rsid w:val="001B3CE8"/>
    <w:rsid w:val="001B45CF"/>
    <w:rsid w:val="001B7B41"/>
    <w:rsid w:val="001C0890"/>
    <w:rsid w:val="001C1479"/>
    <w:rsid w:val="001C3427"/>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1CD0"/>
    <w:rsid w:val="00201EC4"/>
    <w:rsid w:val="00203FF6"/>
    <w:rsid w:val="00205E43"/>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67CC1"/>
    <w:rsid w:val="00273AD3"/>
    <w:rsid w:val="00273FE5"/>
    <w:rsid w:val="0027447D"/>
    <w:rsid w:val="00274858"/>
    <w:rsid w:val="0027488E"/>
    <w:rsid w:val="00276B0E"/>
    <w:rsid w:val="00276D50"/>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E0774"/>
    <w:rsid w:val="002E2E5B"/>
    <w:rsid w:val="002E40C5"/>
    <w:rsid w:val="002E7EAD"/>
    <w:rsid w:val="002F1E83"/>
    <w:rsid w:val="002F29AF"/>
    <w:rsid w:val="002F635B"/>
    <w:rsid w:val="002F7285"/>
    <w:rsid w:val="002F7CBF"/>
    <w:rsid w:val="00301C7A"/>
    <w:rsid w:val="0030279D"/>
    <w:rsid w:val="003068D7"/>
    <w:rsid w:val="0031075A"/>
    <w:rsid w:val="003243E5"/>
    <w:rsid w:val="00326A50"/>
    <w:rsid w:val="003311B8"/>
    <w:rsid w:val="00332AC3"/>
    <w:rsid w:val="0033306F"/>
    <w:rsid w:val="00340621"/>
    <w:rsid w:val="00340739"/>
    <w:rsid w:val="003414FB"/>
    <w:rsid w:val="003441F3"/>
    <w:rsid w:val="00345658"/>
    <w:rsid w:val="00345D7F"/>
    <w:rsid w:val="0034719B"/>
    <w:rsid w:val="0035041B"/>
    <w:rsid w:val="00355590"/>
    <w:rsid w:val="00357DA6"/>
    <w:rsid w:val="003648DA"/>
    <w:rsid w:val="00366322"/>
    <w:rsid w:val="0036778D"/>
    <w:rsid w:val="00371FE7"/>
    <w:rsid w:val="0037225F"/>
    <w:rsid w:val="00373799"/>
    <w:rsid w:val="003753BF"/>
    <w:rsid w:val="00376065"/>
    <w:rsid w:val="0038372A"/>
    <w:rsid w:val="00386DB6"/>
    <w:rsid w:val="00396AB4"/>
    <w:rsid w:val="003A0154"/>
    <w:rsid w:val="003A03C9"/>
    <w:rsid w:val="003A19F5"/>
    <w:rsid w:val="003A3826"/>
    <w:rsid w:val="003A61D8"/>
    <w:rsid w:val="003B1539"/>
    <w:rsid w:val="003B2C42"/>
    <w:rsid w:val="003B587E"/>
    <w:rsid w:val="003B58FD"/>
    <w:rsid w:val="003B671A"/>
    <w:rsid w:val="003C2EC3"/>
    <w:rsid w:val="003C3C10"/>
    <w:rsid w:val="003C4436"/>
    <w:rsid w:val="003C65C5"/>
    <w:rsid w:val="003D0D2A"/>
    <w:rsid w:val="003D242A"/>
    <w:rsid w:val="003D5558"/>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2097B"/>
    <w:rsid w:val="00424A1D"/>
    <w:rsid w:val="004254D6"/>
    <w:rsid w:val="00427623"/>
    <w:rsid w:val="00430285"/>
    <w:rsid w:val="004328E6"/>
    <w:rsid w:val="0043340E"/>
    <w:rsid w:val="00434118"/>
    <w:rsid w:val="00434AFE"/>
    <w:rsid w:val="00434DC0"/>
    <w:rsid w:val="004359C9"/>
    <w:rsid w:val="00447826"/>
    <w:rsid w:val="00452DB8"/>
    <w:rsid w:val="00454020"/>
    <w:rsid w:val="00460D48"/>
    <w:rsid w:val="004666E4"/>
    <w:rsid w:val="00467C90"/>
    <w:rsid w:val="00467FE6"/>
    <w:rsid w:val="0047222B"/>
    <w:rsid w:val="00473C3E"/>
    <w:rsid w:val="0047409C"/>
    <w:rsid w:val="004740D4"/>
    <w:rsid w:val="00481805"/>
    <w:rsid w:val="00481BF5"/>
    <w:rsid w:val="00483216"/>
    <w:rsid w:val="00483B23"/>
    <w:rsid w:val="00483D46"/>
    <w:rsid w:val="00483FEC"/>
    <w:rsid w:val="00484C8E"/>
    <w:rsid w:val="0048599F"/>
    <w:rsid w:val="00490EFE"/>
    <w:rsid w:val="004923BC"/>
    <w:rsid w:val="00493396"/>
    <w:rsid w:val="004B5EB0"/>
    <w:rsid w:val="004B6B65"/>
    <w:rsid w:val="004C04A1"/>
    <w:rsid w:val="004C3B35"/>
    <w:rsid w:val="004C3B43"/>
    <w:rsid w:val="004D06F9"/>
    <w:rsid w:val="004D2DFF"/>
    <w:rsid w:val="004D43A1"/>
    <w:rsid w:val="004D619F"/>
    <w:rsid w:val="004D749C"/>
    <w:rsid w:val="004D7D7B"/>
    <w:rsid w:val="004E0DBD"/>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35F9"/>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C2DE5"/>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41B"/>
    <w:rsid w:val="00616D0C"/>
    <w:rsid w:val="006208DB"/>
    <w:rsid w:val="006219CF"/>
    <w:rsid w:val="00621FFC"/>
    <w:rsid w:val="00623157"/>
    <w:rsid w:val="00625884"/>
    <w:rsid w:val="006277BF"/>
    <w:rsid w:val="0063007F"/>
    <w:rsid w:val="00630345"/>
    <w:rsid w:val="00637ED3"/>
    <w:rsid w:val="00640507"/>
    <w:rsid w:val="00645E40"/>
    <w:rsid w:val="0065255A"/>
    <w:rsid w:val="00653DCC"/>
    <w:rsid w:val="00654A6B"/>
    <w:rsid w:val="006565D0"/>
    <w:rsid w:val="00656A99"/>
    <w:rsid w:val="00656E42"/>
    <w:rsid w:val="00661D31"/>
    <w:rsid w:val="00666C89"/>
    <w:rsid w:val="00666EAB"/>
    <w:rsid w:val="006673ED"/>
    <w:rsid w:val="00681A22"/>
    <w:rsid w:val="0068443A"/>
    <w:rsid w:val="00684DEC"/>
    <w:rsid w:val="00686C4E"/>
    <w:rsid w:val="006871BD"/>
    <w:rsid w:val="00692AF2"/>
    <w:rsid w:val="0069308E"/>
    <w:rsid w:val="006940C2"/>
    <w:rsid w:val="00694E6A"/>
    <w:rsid w:val="00695FA8"/>
    <w:rsid w:val="0069687F"/>
    <w:rsid w:val="006B13C9"/>
    <w:rsid w:val="006B2C00"/>
    <w:rsid w:val="006B32D2"/>
    <w:rsid w:val="006B348F"/>
    <w:rsid w:val="006C1AF6"/>
    <w:rsid w:val="006C4221"/>
    <w:rsid w:val="006C4726"/>
    <w:rsid w:val="006C4829"/>
    <w:rsid w:val="006C7812"/>
    <w:rsid w:val="006D2ABF"/>
    <w:rsid w:val="006E0BB4"/>
    <w:rsid w:val="006E578B"/>
    <w:rsid w:val="006E6423"/>
    <w:rsid w:val="006E6903"/>
    <w:rsid w:val="00700F76"/>
    <w:rsid w:val="00704460"/>
    <w:rsid w:val="00707CC9"/>
    <w:rsid w:val="007106B7"/>
    <w:rsid w:val="00721F61"/>
    <w:rsid w:val="00734A15"/>
    <w:rsid w:val="00737E38"/>
    <w:rsid w:val="00744852"/>
    <w:rsid w:val="00745189"/>
    <w:rsid w:val="00745DFC"/>
    <w:rsid w:val="00747F0B"/>
    <w:rsid w:val="00750D61"/>
    <w:rsid w:val="00751C0D"/>
    <w:rsid w:val="00756737"/>
    <w:rsid w:val="00756743"/>
    <w:rsid w:val="007606E5"/>
    <w:rsid w:val="00764B8D"/>
    <w:rsid w:val="00770E65"/>
    <w:rsid w:val="00771284"/>
    <w:rsid w:val="007805E8"/>
    <w:rsid w:val="00787519"/>
    <w:rsid w:val="00790407"/>
    <w:rsid w:val="00793839"/>
    <w:rsid w:val="00796224"/>
    <w:rsid w:val="007A00A1"/>
    <w:rsid w:val="007A18AE"/>
    <w:rsid w:val="007A2950"/>
    <w:rsid w:val="007A3647"/>
    <w:rsid w:val="007A48B0"/>
    <w:rsid w:val="007B1E3F"/>
    <w:rsid w:val="007B1E8C"/>
    <w:rsid w:val="007B332D"/>
    <w:rsid w:val="007B776E"/>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35D04"/>
    <w:rsid w:val="00840336"/>
    <w:rsid w:val="0084055B"/>
    <w:rsid w:val="008421AE"/>
    <w:rsid w:val="00842340"/>
    <w:rsid w:val="008506CD"/>
    <w:rsid w:val="00857818"/>
    <w:rsid w:val="00860901"/>
    <w:rsid w:val="00860A46"/>
    <w:rsid w:val="00860CA8"/>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D13DF"/>
    <w:rsid w:val="008D1FEE"/>
    <w:rsid w:val="008E00B6"/>
    <w:rsid w:val="008E4FBB"/>
    <w:rsid w:val="008F0F05"/>
    <w:rsid w:val="008F454F"/>
    <w:rsid w:val="008F5876"/>
    <w:rsid w:val="008F64CD"/>
    <w:rsid w:val="008F6E6D"/>
    <w:rsid w:val="0090001C"/>
    <w:rsid w:val="0090282D"/>
    <w:rsid w:val="00903204"/>
    <w:rsid w:val="00903FA8"/>
    <w:rsid w:val="0090455F"/>
    <w:rsid w:val="00904E12"/>
    <w:rsid w:val="0090588E"/>
    <w:rsid w:val="009078B8"/>
    <w:rsid w:val="009118DE"/>
    <w:rsid w:val="00912183"/>
    <w:rsid w:val="00920D1B"/>
    <w:rsid w:val="009214FF"/>
    <w:rsid w:val="009251FE"/>
    <w:rsid w:val="00926C3E"/>
    <w:rsid w:val="00932501"/>
    <w:rsid w:val="00932B2C"/>
    <w:rsid w:val="009337DF"/>
    <w:rsid w:val="009366B0"/>
    <w:rsid w:val="0093699B"/>
    <w:rsid w:val="0094366B"/>
    <w:rsid w:val="00946EAA"/>
    <w:rsid w:val="0095152A"/>
    <w:rsid w:val="00954E84"/>
    <w:rsid w:val="00956935"/>
    <w:rsid w:val="00957013"/>
    <w:rsid w:val="0095725A"/>
    <w:rsid w:val="009612B6"/>
    <w:rsid w:val="00972288"/>
    <w:rsid w:val="00972B20"/>
    <w:rsid w:val="0097317F"/>
    <w:rsid w:val="00974761"/>
    <w:rsid w:val="0098018E"/>
    <w:rsid w:val="009850EA"/>
    <w:rsid w:val="00985D46"/>
    <w:rsid w:val="009970E3"/>
    <w:rsid w:val="009A2289"/>
    <w:rsid w:val="009A2374"/>
    <w:rsid w:val="009A28A3"/>
    <w:rsid w:val="009A7BEA"/>
    <w:rsid w:val="009B1DEB"/>
    <w:rsid w:val="009B2427"/>
    <w:rsid w:val="009B311C"/>
    <w:rsid w:val="009C650F"/>
    <w:rsid w:val="009C6927"/>
    <w:rsid w:val="009C7E75"/>
    <w:rsid w:val="009D0A82"/>
    <w:rsid w:val="009D2301"/>
    <w:rsid w:val="009D5948"/>
    <w:rsid w:val="009D7EC6"/>
    <w:rsid w:val="009E0F6A"/>
    <w:rsid w:val="009E545E"/>
    <w:rsid w:val="009E5D42"/>
    <w:rsid w:val="009F0FFB"/>
    <w:rsid w:val="009F1965"/>
    <w:rsid w:val="009F474D"/>
    <w:rsid w:val="009F48A4"/>
    <w:rsid w:val="00A01A68"/>
    <w:rsid w:val="00A050DA"/>
    <w:rsid w:val="00A075EA"/>
    <w:rsid w:val="00A1014A"/>
    <w:rsid w:val="00A10A8F"/>
    <w:rsid w:val="00A11588"/>
    <w:rsid w:val="00A14490"/>
    <w:rsid w:val="00A14C5A"/>
    <w:rsid w:val="00A17083"/>
    <w:rsid w:val="00A17DA9"/>
    <w:rsid w:val="00A21519"/>
    <w:rsid w:val="00A21B96"/>
    <w:rsid w:val="00A21DED"/>
    <w:rsid w:val="00A21F55"/>
    <w:rsid w:val="00A310E3"/>
    <w:rsid w:val="00A32B1F"/>
    <w:rsid w:val="00A36B89"/>
    <w:rsid w:val="00A4592C"/>
    <w:rsid w:val="00A465DB"/>
    <w:rsid w:val="00A469EB"/>
    <w:rsid w:val="00A46F53"/>
    <w:rsid w:val="00A47A8D"/>
    <w:rsid w:val="00A47B32"/>
    <w:rsid w:val="00A574CE"/>
    <w:rsid w:val="00A63814"/>
    <w:rsid w:val="00A64FB3"/>
    <w:rsid w:val="00A662A3"/>
    <w:rsid w:val="00A71021"/>
    <w:rsid w:val="00A741E0"/>
    <w:rsid w:val="00A812EB"/>
    <w:rsid w:val="00A8596B"/>
    <w:rsid w:val="00A86A28"/>
    <w:rsid w:val="00A86D4F"/>
    <w:rsid w:val="00A87F60"/>
    <w:rsid w:val="00A900B4"/>
    <w:rsid w:val="00A94211"/>
    <w:rsid w:val="00A95A31"/>
    <w:rsid w:val="00AA19EC"/>
    <w:rsid w:val="00AA3A58"/>
    <w:rsid w:val="00AA3DDF"/>
    <w:rsid w:val="00AA6663"/>
    <w:rsid w:val="00AA6ADA"/>
    <w:rsid w:val="00AA6D7A"/>
    <w:rsid w:val="00AB04F3"/>
    <w:rsid w:val="00AB44C6"/>
    <w:rsid w:val="00AC440A"/>
    <w:rsid w:val="00AC5081"/>
    <w:rsid w:val="00AC5B28"/>
    <w:rsid w:val="00AC7AA4"/>
    <w:rsid w:val="00AD2CF5"/>
    <w:rsid w:val="00AD484F"/>
    <w:rsid w:val="00AE0676"/>
    <w:rsid w:val="00AE235C"/>
    <w:rsid w:val="00AE2923"/>
    <w:rsid w:val="00AF2587"/>
    <w:rsid w:val="00AF40DB"/>
    <w:rsid w:val="00B005EC"/>
    <w:rsid w:val="00B01FF6"/>
    <w:rsid w:val="00B03D17"/>
    <w:rsid w:val="00B0524B"/>
    <w:rsid w:val="00B07887"/>
    <w:rsid w:val="00B20DE7"/>
    <w:rsid w:val="00B219AA"/>
    <w:rsid w:val="00B248A1"/>
    <w:rsid w:val="00B24C57"/>
    <w:rsid w:val="00B25839"/>
    <w:rsid w:val="00B276F0"/>
    <w:rsid w:val="00B279D0"/>
    <w:rsid w:val="00B32F5E"/>
    <w:rsid w:val="00B44C24"/>
    <w:rsid w:val="00B477A5"/>
    <w:rsid w:val="00B50441"/>
    <w:rsid w:val="00B52CCF"/>
    <w:rsid w:val="00B53820"/>
    <w:rsid w:val="00B61E84"/>
    <w:rsid w:val="00B62723"/>
    <w:rsid w:val="00B6443B"/>
    <w:rsid w:val="00B66121"/>
    <w:rsid w:val="00B661DB"/>
    <w:rsid w:val="00B67820"/>
    <w:rsid w:val="00B67FDC"/>
    <w:rsid w:val="00B70F11"/>
    <w:rsid w:val="00B71BA1"/>
    <w:rsid w:val="00B735CE"/>
    <w:rsid w:val="00B77308"/>
    <w:rsid w:val="00B80133"/>
    <w:rsid w:val="00B8245B"/>
    <w:rsid w:val="00B85FCE"/>
    <w:rsid w:val="00B92E4D"/>
    <w:rsid w:val="00B971C5"/>
    <w:rsid w:val="00BA5A43"/>
    <w:rsid w:val="00BA625A"/>
    <w:rsid w:val="00BB174E"/>
    <w:rsid w:val="00BB2422"/>
    <w:rsid w:val="00BB3D60"/>
    <w:rsid w:val="00BC1D47"/>
    <w:rsid w:val="00BC20A4"/>
    <w:rsid w:val="00BC2F60"/>
    <w:rsid w:val="00BC4077"/>
    <w:rsid w:val="00BC7057"/>
    <w:rsid w:val="00BC7217"/>
    <w:rsid w:val="00BD18E7"/>
    <w:rsid w:val="00BD2135"/>
    <w:rsid w:val="00BD4B1B"/>
    <w:rsid w:val="00BD7DAB"/>
    <w:rsid w:val="00BE0992"/>
    <w:rsid w:val="00BE0AAE"/>
    <w:rsid w:val="00BE26D4"/>
    <w:rsid w:val="00BE6808"/>
    <w:rsid w:val="00BE75F4"/>
    <w:rsid w:val="00BF46ED"/>
    <w:rsid w:val="00C00D8E"/>
    <w:rsid w:val="00C1346A"/>
    <w:rsid w:val="00C20705"/>
    <w:rsid w:val="00C20CD3"/>
    <w:rsid w:val="00C22568"/>
    <w:rsid w:val="00C42F4B"/>
    <w:rsid w:val="00C46CCF"/>
    <w:rsid w:val="00C46DFE"/>
    <w:rsid w:val="00C477BF"/>
    <w:rsid w:val="00C56A73"/>
    <w:rsid w:val="00C67AAA"/>
    <w:rsid w:val="00C70D65"/>
    <w:rsid w:val="00C7376A"/>
    <w:rsid w:val="00C753E4"/>
    <w:rsid w:val="00C76D70"/>
    <w:rsid w:val="00C83C4C"/>
    <w:rsid w:val="00C8432E"/>
    <w:rsid w:val="00C85265"/>
    <w:rsid w:val="00C87361"/>
    <w:rsid w:val="00C90ECF"/>
    <w:rsid w:val="00C95E83"/>
    <w:rsid w:val="00C970C6"/>
    <w:rsid w:val="00C97388"/>
    <w:rsid w:val="00CA29F1"/>
    <w:rsid w:val="00CA6870"/>
    <w:rsid w:val="00CB0372"/>
    <w:rsid w:val="00CB319B"/>
    <w:rsid w:val="00CB4641"/>
    <w:rsid w:val="00CB562E"/>
    <w:rsid w:val="00CB5872"/>
    <w:rsid w:val="00CB720B"/>
    <w:rsid w:val="00CC0BF3"/>
    <w:rsid w:val="00CC78E9"/>
    <w:rsid w:val="00CC7ABD"/>
    <w:rsid w:val="00CD4378"/>
    <w:rsid w:val="00CD6AB3"/>
    <w:rsid w:val="00CE058D"/>
    <w:rsid w:val="00CE4516"/>
    <w:rsid w:val="00CF094F"/>
    <w:rsid w:val="00CF0E87"/>
    <w:rsid w:val="00CF567F"/>
    <w:rsid w:val="00D00A8D"/>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0522"/>
    <w:rsid w:val="00D559E3"/>
    <w:rsid w:val="00D5686C"/>
    <w:rsid w:val="00D56926"/>
    <w:rsid w:val="00D64CF9"/>
    <w:rsid w:val="00D6646B"/>
    <w:rsid w:val="00D67F85"/>
    <w:rsid w:val="00D71854"/>
    <w:rsid w:val="00D72288"/>
    <w:rsid w:val="00D75079"/>
    <w:rsid w:val="00D764DA"/>
    <w:rsid w:val="00D80996"/>
    <w:rsid w:val="00D82ADB"/>
    <w:rsid w:val="00D83055"/>
    <w:rsid w:val="00D84C79"/>
    <w:rsid w:val="00D86ACE"/>
    <w:rsid w:val="00D87389"/>
    <w:rsid w:val="00D9279F"/>
    <w:rsid w:val="00D97567"/>
    <w:rsid w:val="00DA1D67"/>
    <w:rsid w:val="00DA21FF"/>
    <w:rsid w:val="00DA2261"/>
    <w:rsid w:val="00DA29EA"/>
    <w:rsid w:val="00DA7C03"/>
    <w:rsid w:val="00DB15B9"/>
    <w:rsid w:val="00DB27A4"/>
    <w:rsid w:val="00DB7CCE"/>
    <w:rsid w:val="00DC42DE"/>
    <w:rsid w:val="00DC530F"/>
    <w:rsid w:val="00DD489A"/>
    <w:rsid w:val="00DD5697"/>
    <w:rsid w:val="00DE28FD"/>
    <w:rsid w:val="00DE2B3F"/>
    <w:rsid w:val="00DE5FAA"/>
    <w:rsid w:val="00DE619E"/>
    <w:rsid w:val="00DE723D"/>
    <w:rsid w:val="00DE7697"/>
    <w:rsid w:val="00DF1717"/>
    <w:rsid w:val="00DF4E2A"/>
    <w:rsid w:val="00DF5AB6"/>
    <w:rsid w:val="00DF66FF"/>
    <w:rsid w:val="00E0122D"/>
    <w:rsid w:val="00E0712A"/>
    <w:rsid w:val="00E1026C"/>
    <w:rsid w:val="00E106FC"/>
    <w:rsid w:val="00E121F0"/>
    <w:rsid w:val="00E15B8F"/>
    <w:rsid w:val="00E176AF"/>
    <w:rsid w:val="00E2393D"/>
    <w:rsid w:val="00E27E08"/>
    <w:rsid w:val="00E36177"/>
    <w:rsid w:val="00E37125"/>
    <w:rsid w:val="00E406C7"/>
    <w:rsid w:val="00E4143A"/>
    <w:rsid w:val="00E418C7"/>
    <w:rsid w:val="00E44888"/>
    <w:rsid w:val="00E500A3"/>
    <w:rsid w:val="00E52902"/>
    <w:rsid w:val="00E54FD8"/>
    <w:rsid w:val="00E55BED"/>
    <w:rsid w:val="00E55E6D"/>
    <w:rsid w:val="00E55E86"/>
    <w:rsid w:val="00E56964"/>
    <w:rsid w:val="00E62D9B"/>
    <w:rsid w:val="00E62FEF"/>
    <w:rsid w:val="00E63BA7"/>
    <w:rsid w:val="00E65261"/>
    <w:rsid w:val="00E669ED"/>
    <w:rsid w:val="00E67EA4"/>
    <w:rsid w:val="00E70664"/>
    <w:rsid w:val="00E70E22"/>
    <w:rsid w:val="00E8555E"/>
    <w:rsid w:val="00E92A48"/>
    <w:rsid w:val="00E932F2"/>
    <w:rsid w:val="00E939F9"/>
    <w:rsid w:val="00E93A71"/>
    <w:rsid w:val="00EA103E"/>
    <w:rsid w:val="00EA2850"/>
    <w:rsid w:val="00EB715E"/>
    <w:rsid w:val="00EC030E"/>
    <w:rsid w:val="00EC1418"/>
    <w:rsid w:val="00EC3036"/>
    <w:rsid w:val="00EC7F7C"/>
    <w:rsid w:val="00ED2B7E"/>
    <w:rsid w:val="00ED54EA"/>
    <w:rsid w:val="00ED6AAE"/>
    <w:rsid w:val="00EE110B"/>
    <w:rsid w:val="00EE1773"/>
    <w:rsid w:val="00EE31CF"/>
    <w:rsid w:val="00EE724A"/>
    <w:rsid w:val="00EF1D53"/>
    <w:rsid w:val="00EF5A29"/>
    <w:rsid w:val="00EF750E"/>
    <w:rsid w:val="00F03EB1"/>
    <w:rsid w:val="00F059EA"/>
    <w:rsid w:val="00F101F0"/>
    <w:rsid w:val="00F156C8"/>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64A94"/>
    <w:rsid w:val="00F67261"/>
    <w:rsid w:val="00F74ED8"/>
    <w:rsid w:val="00F8120D"/>
    <w:rsid w:val="00F90EA2"/>
    <w:rsid w:val="00F917E3"/>
    <w:rsid w:val="00F9265F"/>
    <w:rsid w:val="00F93120"/>
    <w:rsid w:val="00F939AD"/>
    <w:rsid w:val="00F93C80"/>
    <w:rsid w:val="00F9726F"/>
    <w:rsid w:val="00F97A47"/>
    <w:rsid w:val="00FA5700"/>
    <w:rsid w:val="00FA7C2F"/>
    <w:rsid w:val="00FB08F1"/>
    <w:rsid w:val="00FB2C0F"/>
    <w:rsid w:val="00FB2D99"/>
    <w:rsid w:val="00FB3814"/>
    <w:rsid w:val="00FB509A"/>
    <w:rsid w:val="00FC3E1A"/>
    <w:rsid w:val="00FC47B9"/>
    <w:rsid w:val="00FC48A9"/>
    <w:rsid w:val="00FC5F5D"/>
    <w:rsid w:val="00FD4834"/>
    <w:rsid w:val="00FE0576"/>
    <w:rsid w:val="00FE1068"/>
    <w:rsid w:val="00FE2456"/>
    <w:rsid w:val="00FE3FA1"/>
    <w:rsid w:val="00FE4A7B"/>
    <w:rsid w:val="00FF00CD"/>
    <w:rsid w:val="00FF1AA3"/>
    <w:rsid w:val="00FF452F"/>
    <w:rsid w:val="00FF4A93"/>
    <w:rsid w:val="00FF4EB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cf01">
    <w:name w:val="cf01"/>
    <w:basedOn w:val="DefaultParagraphFont"/>
    <w:rsid w:val="00A14490"/>
    <w:rPr>
      <w:rFonts w:ascii="Segoe UI" w:hAnsi="Segoe UI" w:cs="Segoe UI" w:hint="default"/>
      <w:b/>
      <w:bCs/>
      <w:sz w:val="18"/>
      <w:szCs w:val="18"/>
    </w:rPr>
  </w:style>
  <w:style w:type="character" w:customStyle="1" w:styleId="cf11">
    <w:name w:val="cf11"/>
    <w:basedOn w:val="DefaultParagraphFont"/>
    <w:rsid w:val="00A14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3.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KIRATU, Ann</cp:lastModifiedBy>
  <cp:revision>139</cp:revision>
  <cp:lastPrinted>2022-03-30T16:27:00Z</cp:lastPrinted>
  <dcterms:created xsi:type="dcterms:W3CDTF">2023-07-13T12:44:00Z</dcterms:created>
  <dcterms:modified xsi:type="dcterms:W3CDTF">2025-03-10T10:53:00Z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